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E116B6" w:rsidR="009E4A8B" w:rsidP="00E116B6" w:rsidRDefault="009E4A8B">
      <w:pPr>
        <w:jc w:val="center"/>
        <w:rPr>
          <w:lang w:val="en-GB"/>
        </w:rPr>
      </w:pPr>
      <w:bookmarkStart w:name="_GoBack" w:id="0"/>
      <w:bookmarkEnd w:id="0"/>
    </w:p>
    <w:p w:rsidRPr="00E116B6" w:rsidR="009E4A8B" w:rsidP="00E116B6" w:rsidRDefault="009E4A8B">
      <w:pPr>
        <w:jc w:val="center"/>
        <w:rPr>
          <w:lang w:val="en-GB"/>
        </w:rPr>
      </w:pPr>
    </w:p>
    <w:p w:rsidRPr="00E116B6" w:rsidR="00014566" w:rsidP="00E116B6" w:rsidRDefault="00014566">
      <w:pPr>
        <w:jc w:val="center"/>
        <w:rPr>
          <w:lang w:val="en-GB"/>
        </w:rPr>
      </w:pPr>
    </w:p>
    <w:p w:rsidRPr="00E116B6" w:rsidR="00014566" w:rsidP="00E116B6" w:rsidRDefault="00570E7B">
      <w:pPr>
        <w:jc w:val="center"/>
        <w:rPr>
          <w:lang w:val="en-GB"/>
        </w:rPr>
      </w:pPr>
      <w:r w:rsidRPr="00E116B6">
        <w:rPr>
          <w:lang w:val="en-GB"/>
        </w:rPr>
        <w:t>F</w:t>
      </w:r>
      <w:r w:rsidRPr="00E116B6" w:rsidR="00F21A97">
        <w:rPr>
          <w:lang w:val="en-GB"/>
        </w:rPr>
        <w:t>IF</w:t>
      </w:r>
      <w:r w:rsidRPr="00E116B6">
        <w:rPr>
          <w:lang w:val="en-GB"/>
        </w:rPr>
        <w:t>TH SECTION</w:t>
      </w:r>
    </w:p>
    <w:p w:rsidRPr="00E116B6" w:rsidR="00014566" w:rsidP="00E116B6" w:rsidRDefault="00014566">
      <w:pPr>
        <w:jc w:val="center"/>
        <w:rPr>
          <w:lang w:val="en-GB"/>
        </w:rPr>
      </w:pPr>
    </w:p>
    <w:p w:rsidRPr="00E116B6" w:rsidR="009E4A8B" w:rsidP="00E116B6" w:rsidRDefault="009E4A8B">
      <w:pPr>
        <w:jc w:val="center"/>
        <w:rPr>
          <w:lang w:val="en-GB"/>
        </w:rPr>
      </w:pPr>
    </w:p>
    <w:p w:rsidRPr="00E116B6" w:rsidR="009E4A8B" w:rsidP="00E116B6" w:rsidRDefault="009E4A8B">
      <w:pPr>
        <w:jc w:val="center"/>
        <w:rPr>
          <w:lang w:val="en-GB"/>
        </w:rPr>
      </w:pPr>
    </w:p>
    <w:p w:rsidRPr="00E116B6" w:rsidR="009E4A8B" w:rsidP="00E116B6" w:rsidRDefault="009E4A8B">
      <w:pPr>
        <w:jc w:val="center"/>
        <w:rPr>
          <w:lang w:val="en-GB"/>
        </w:rPr>
      </w:pPr>
    </w:p>
    <w:p w:rsidRPr="00E116B6" w:rsidR="009E4A8B" w:rsidP="00E116B6" w:rsidRDefault="009E4A8B">
      <w:pPr>
        <w:jc w:val="center"/>
        <w:rPr>
          <w:lang w:val="en-GB"/>
        </w:rPr>
      </w:pPr>
    </w:p>
    <w:p w:rsidRPr="00E116B6" w:rsidR="009E4A8B" w:rsidP="00E116B6" w:rsidRDefault="009E4A8B">
      <w:pPr>
        <w:jc w:val="center"/>
        <w:rPr>
          <w:lang w:val="en-GB"/>
        </w:rPr>
      </w:pPr>
    </w:p>
    <w:p w:rsidRPr="00E116B6" w:rsidR="00014566" w:rsidP="00E116B6" w:rsidRDefault="00014566">
      <w:pPr>
        <w:jc w:val="center"/>
        <w:rPr>
          <w:b/>
          <w:lang w:val="en-GB"/>
        </w:rPr>
      </w:pPr>
      <w:r w:rsidRPr="00E116B6">
        <w:rPr>
          <w:b/>
          <w:lang w:val="en-GB"/>
        </w:rPr>
        <w:t xml:space="preserve">CASE OF </w:t>
      </w:r>
      <w:r w:rsidRPr="00E116B6" w:rsidR="00570E7B">
        <w:rPr>
          <w:b/>
          <w:lang w:val="en-GB"/>
        </w:rPr>
        <w:t>MINDADZE AND NEMSITSVERIDZE v. GEORGIA</w:t>
      </w:r>
    </w:p>
    <w:p w:rsidRPr="00E116B6" w:rsidR="00014566" w:rsidP="00E116B6" w:rsidRDefault="00014566">
      <w:pPr>
        <w:jc w:val="center"/>
        <w:rPr>
          <w:lang w:val="en-GB"/>
        </w:rPr>
      </w:pPr>
    </w:p>
    <w:p w:rsidRPr="00E116B6" w:rsidR="00014566" w:rsidP="00E116B6" w:rsidRDefault="00014566">
      <w:pPr>
        <w:jc w:val="center"/>
        <w:rPr>
          <w:i/>
          <w:lang w:val="en-GB"/>
        </w:rPr>
      </w:pPr>
      <w:r w:rsidRPr="00E116B6">
        <w:rPr>
          <w:i/>
          <w:lang w:val="en-GB"/>
        </w:rPr>
        <w:t>(</w:t>
      </w:r>
      <w:r w:rsidRPr="00E116B6" w:rsidR="00570E7B">
        <w:rPr>
          <w:i/>
          <w:lang w:val="en-GB"/>
        </w:rPr>
        <w:t>Applicati</w:t>
      </w:r>
      <w:r w:rsidRPr="00E116B6" w:rsidR="006555F4">
        <w:rPr>
          <w:i/>
          <w:lang w:val="en-GB"/>
        </w:rPr>
        <w:t xml:space="preserve">on </w:t>
      </w:r>
      <w:r w:rsidRPr="00E116B6" w:rsidR="00570E7B">
        <w:rPr>
          <w:i/>
          <w:lang w:val="en-GB"/>
        </w:rPr>
        <w:t>no. 21571/05</w:t>
      </w:r>
      <w:r w:rsidRPr="00E116B6">
        <w:rPr>
          <w:i/>
          <w:lang w:val="en-GB"/>
        </w:rPr>
        <w:t>)</w:t>
      </w:r>
    </w:p>
    <w:p w:rsidRPr="00E116B6" w:rsidR="00014566" w:rsidP="00E116B6" w:rsidRDefault="00014566">
      <w:pPr>
        <w:jc w:val="center"/>
        <w:rPr>
          <w:lang w:val="en-GB"/>
        </w:rPr>
      </w:pPr>
    </w:p>
    <w:p w:rsidRPr="00E116B6" w:rsidR="00A23EEF" w:rsidP="00E116B6" w:rsidRDefault="00A23EEF">
      <w:pPr>
        <w:jc w:val="center"/>
        <w:rPr>
          <w:lang w:val="en-GB"/>
        </w:rPr>
      </w:pPr>
    </w:p>
    <w:p w:rsidRPr="00E116B6" w:rsidR="00A23EEF" w:rsidP="00E116B6" w:rsidRDefault="00A23EEF">
      <w:pPr>
        <w:jc w:val="center"/>
        <w:rPr>
          <w:lang w:val="en-GB"/>
        </w:rPr>
      </w:pPr>
    </w:p>
    <w:p w:rsidRPr="00E116B6" w:rsidR="00A23EEF" w:rsidP="00E116B6" w:rsidRDefault="00A23EEF">
      <w:pPr>
        <w:jc w:val="center"/>
        <w:rPr>
          <w:lang w:val="en-GB"/>
        </w:rPr>
      </w:pPr>
    </w:p>
    <w:p w:rsidRPr="00E116B6" w:rsidR="00C53673" w:rsidP="00E116B6" w:rsidRDefault="00C53673">
      <w:pPr>
        <w:jc w:val="center"/>
        <w:rPr>
          <w:lang w:val="en-GB"/>
        </w:rPr>
      </w:pPr>
    </w:p>
    <w:p w:rsidRPr="00E116B6" w:rsidR="006555F4" w:rsidP="00E116B6" w:rsidRDefault="006555F4">
      <w:pPr>
        <w:jc w:val="center"/>
        <w:rPr>
          <w:lang w:val="en-GB"/>
        </w:rPr>
      </w:pPr>
    </w:p>
    <w:p w:rsidRPr="00E116B6" w:rsidR="00A23EEF" w:rsidP="00E116B6" w:rsidRDefault="00A23EEF">
      <w:pPr>
        <w:jc w:val="center"/>
        <w:rPr>
          <w:lang w:val="en-GB"/>
        </w:rPr>
      </w:pPr>
    </w:p>
    <w:p w:rsidRPr="00E116B6" w:rsidR="00A23EEF" w:rsidP="00E116B6" w:rsidRDefault="00A23EEF">
      <w:pPr>
        <w:jc w:val="center"/>
        <w:rPr>
          <w:lang w:val="en-GB"/>
        </w:rPr>
      </w:pPr>
    </w:p>
    <w:p w:rsidRPr="00E116B6" w:rsidR="00AC1180" w:rsidP="00E116B6" w:rsidRDefault="009E4A8B">
      <w:pPr>
        <w:jc w:val="center"/>
        <w:rPr>
          <w:lang w:val="en-GB"/>
        </w:rPr>
      </w:pPr>
      <w:r w:rsidRPr="00E116B6">
        <w:rPr>
          <w:lang w:val="en-GB"/>
        </w:rPr>
        <w:t>JUDGMENT</w:t>
      </w:r>
    </w:p>
    <w:p w:rsidRPr="00E116B6" w:rsidR="00A23EEF" w:rsidP="00E116B6" w:rsidRDefault="00A23EEF">
      <w:pPr>
        <w:jc w:val="center"/>
        <w:rPr>
          <w:lang w:val="en-GB"/>
        </w:rPr>
      </w:pPr>
    </w:p>
    <w:p w:rsidRPr="00E116B6" w:rsidR="009E4A8B" w:rsidP="00E116B6" w:rsidRDefault="009E4A8B">
      <w:pPr>
        <w:jc w:val="center"/>
        <w:rPr>
          <w:lang w:val="en-GB"/>
        </w:rPr>
      </w:pPr>
    </w:p>
    <w:p w:rsidRPr="00E116B6" w:rsidR="009E4A8B" w:rsidP="00E116B6" w:rsidRDefault="009E4A8B">
      <w:pPr>
        <w:jc w:val="center"/>
        <w:rPr>
          <w:lang w:val="en-GB"/>
        </w:rPr>
      </w:pPr>
      <w:r w:rsidRPr="00E116B6">
        <w:rPr>
          <w:lang w:val="en-GB"/>
        </w:rPr>
        <w:t>STRASBOURG</w:t>
      </w:r>
    </w:p>
    <w:p w:rsidRPr="00E116B6" w:rsidR="009E4A8B" w:rsidP="00E116B6" w:rsidRDefault="009E4A8B">
      <w:pPr>
        <w:jc w:val="center"/>
        <w:rPr>
          <w:lang w:val="en-GB"/>
        </w:rPr>
      </w:pPr>
    </w:p>
    <w:p w:rsidRPr="00E116B6" w:rsidR="009E4A8B" w:rsidP="00E116B6" w:rsidRDefault="009E4A8B">
      <w:pPr>
        <w:jc w:val="center"/>
        <w:rPr>
          <w:lang w:val="en-GB"/>
        </w:rPr>
      </w:pPr>
      <w:r w:rsidRPr="00E116B6">
        <w:rPr>
          <w:lang w:val="en-GB"/>
        </w:rPr>
        <w:t>1 June 2017</w:t>
      </w:r>
    </w:p>
    <w:p w:rsidRPr="00E116B6" w:rsidR="009E4A8B" w:rsidP="00E116B6" w:rsidRDefault="009E4A8B">
      <w:pPr>
        <w:jc w:val="center"/>
        <w:rPr>
          <w:lang w:val="en-GB"/>
        </w:rPr>
      </w:pPr>
    </w:p>
    <w:p w:rsidRPr="00E116B6" w:rsidR="00E116B6" w:rsidP="00E116B6" w:rsidRDefault="00E116B6">
      <w:pPr>
        <w:jc w:val="center"/>
        <w:rPr>
          <w:lang w:val="en-GB"/>
        </w:rPr>
      </w:pPr>
    </w:p>
    <w:p w:rsidRPr="00E116B6" w:rsidR="00E116B6" w:rsidP="00E116B6" w:rsidRDefault="00E116B6">
      <w:pPr>
        <w:jc w:val="center"/>
        <w:rPr>
          <w:lang w:val="en-GB"/>
        </w:rPr>
      </w:pPr>
    </w:p>
    <w:p w:rsidRPr="00E116B6" w:rsidR="00E116B6" w:rsidP="00E116B6" w:rsidRDefault="00E116B6">
      <w:pPr>
        <w:pStyle w:val="jucase0"/>
        <w:ind w:firstLine="0"/>
        <w:jc w:val="center"/>
        <w:rPr>
          <w:color w:val="FF0000"/>
          <w:sz w:val="28"/>
          <w:szCs w:val="28"/>
          <w:u w:val="single"/>
        </w:rPr>
      </w:pPr>
      <w:r w:rsidRPr="00E116B6">
        <w:rPr>
          <w:color w:val="FF0000"/>
          <w:sz w:val="28"/>
          <w:szCs w:val="28"/>
          <w:u w:val="single"/>
        </w:rPr>
        <w:t>FINAL</w:t>
      </w:r>
    </w:p>
    <w:p w:rsidRPr="00E116B6" w:rsidR="00E116B6" w:rsidP="00E116B6" w:rsidRDefault="00E116B6">
      <w:pPr>
        <w:pStyle w:val="jupara"/>
        <w:tabs>
          <w:tab w:val="left" w:pos="4650"/>
        </w:tabs>
        <w:ind w:firstLine="0"/>
        <w:jc w:val="center"/>
        <w:rPr>
          <w:color w:val="FF0000"/>
          <w:sz w:val="28"/>
          <w:szCs w:val="28"/>
        </w:rPr>
      </w:pPr>
    </w:p>
    <w:p w:rsidRPr="00E116B6" w:rsidR="00E116B6" w:rsidP="00E116B6" w:rsidRDefault="00E116B6">
      <w:pPr>
        <w:pStyle w:val="jupara"/>
        <w:ind w:firstLine="0"/>
        <w:jc w:val="center"/>
        <w:rPr>
          <w:color w:val="FF0000"/>
          <w:sz w:val="28"/>
          <w:szCs w:val="28"/>
        </w:rPr>
      </w:pPr>
      <w:r w:rsidRPr="00E116B6">
        <w:rPr>
          <w:color w:val="FF0000"/>
          <w:sz w:val="28"/>
          <w:szCs w:val="28"/>
        </w:rPr>
        <w:t>01/09/2017</w:t>
      </w:r>
    </w:p>
    <w:p w:rsidRPr="00E116B6" w:rsidR="00E116B6" w:rsidP="00E116B6" w:rsidRDefault="00E116B6">
      <w:pPr>
        <w:pStyle w:val="jupara"/>
        <w:ind w:firstLine="0"/>
        <w:jc w:val="center"/>
      </w:pPr>
    </w:p>
    <w:p w:rsidRPr="00E116B6" w:rsidR="00E116B6" w:rsidP="00E116B6" w:rsidRDefault="00E116B6">
      <w:pPr>
        <w:pStyle w:val="jupara"/>
        <w:ind w:firstLine="0"/>
        <w:jc w:val="center"/>
      </w:pPr>
    </w:p>
    <w:p w:rsidRPr="00E116B6" w:rsidR="009E4A8B" w:rsidP="00E116B6" w:rsidRDefault="00E116B6">
      <w:pPr>
        <w:pStyle w:val="ECHRPara"/>
        <w:rPr>
          <w:lang w:val="en-GB"/>
        </w:rPr>
      </w:pPr>
      <w:r w:rsidRPr="00E116B6">
        <w:rPr>
          <w:i/>
          <w:iCs/>
          <w:sz w:val="22"/>
        </w:rPr>
        <w:t>This judgment has become final under Article 44 § 2 of the Convention. It may be subject to editorial revision.</w:t>
      </w:r>
    </w:p>
    <w:p w:rsidRPr="00E116B6" w:rsidR="00E116B6" w:rsidP="00E116B6" w:rsidRDefault="00E116B6">
      <w:pPr>
        <w:pStyle w:val="ECHRPara"/>
        <w:rPr>
          <w:lang w:val="en-GB"/>
        </w:rPr>
      </w:pPr>
    </w:p>
    <w:p w:rsidRPr="00E116B6" w:rsidR="00E116B6" w:rsidP="00E116B6" w:rsidRDefault="00E116B6">
      <w:pPr>
        <w:pStyle w:val="ECHRPara"/>
        <w:rPr>
          <w:lang w:val="en-GB"/>
        </w:rPr>
        <w:sectPr w:rsidRPr="00E116B6" w:rsidR="00E116B6" w:rsidSect="009E4A8B">
          <w:headerReference w:type="default" r:id="rId8"/>
          <w:headerReference w:type="first" r:id="rId9"/>
          <w:footerReference w:type="first" r:id="rId10"/>
          <w:footnotePr>
            <w:numRestart w:val="eachSect"/>
          </w:footnotePr>
          <w:pgSz w:w="11906" w:h="16838" w:code="9"/>
          <w:pgMar w:top="2274" w:right="2274" w:bottom="2274" w:left="2274" w:header="1701" w:footer="720" w:gutter="0"/>
          <w:pgNumType w:start="1"/>
          <w:cols w:space="720"/>
          <w:titlePg/>
          <w:docGrid w:linePitch="326"/>
        </w:sectPr>
      </w:pPr>
    </w:p>
    <w:p w:rsidRPr="00E116B6" w:rsidR="00014566" w:rsidP="00E116B6" w:rsidRDefault="00014566">
      <w:pPr>
        <w:pStyle w:val="JuCase"/>
        <w:rPr>
          <w:bCs/>
          <w:lang w:val="en-GB"/>
        </w:rPr>
      </w:pPr>
      <w:r w:rsidRPr="00E116B6">
        <w:rPr>
          <w:lang w:val="en-GB"/>
        </w:rPr>
        <w:t xml:space="preserve">In the case of </w:t>
      </w:r>
      <w:r w:rsidRPr="00E116B6" w:rsidR="00570E7B">
        <w:rPr>
          <w:lang w:val="en-GB"/>
        </w:rPr>
        <w:t>Mindadze and Nemsitsveridze v. Georgia</w:t>
      </w:r>
      <w:r w:rsidRPr="00E116B6">
        <w:rPr>
          <w:lang w:val="en-GB"/>
        </w:rPr>
        <w:t>,</w:t>
      </w:r>
    </w:p>
    <w:p w:rsidRPr="00E116B6" w:rsidR="00014566" w:rsidP="00E116B6" w:rsidRDefault="00014566">
      <w:pPr>
        <w:pStyle w:val="ECHRPara"/>
        <w:rPr>
          <w:lang w:val="en-GB"/>
        </w:rPr>
      </w:pPr>
      <w:r w:rsidRPr="00E116B6">
        <w:rPr>
          <w:lang w:val="en-GB"/>
        </w:rPr>
        <w:t>The European Court of Human Rights (</w:t>
      </w:r>
      <w:r w:rsidRPr="00E116B6" w:rsidR="00570E7B">
        <w:rPr>
          <w:lang w:val="en-GB"/>
        </w:rPr>
        <w:t>F</w:t>
      </w:r>
      <w:r w:rsidRPr="00E116B6" w:rsidR="000F43C7">
        <w:rPr>
          <w:lang w:val="en-GB"/>
        </w:rPr>
        <w:t>if</w:t>
      </w:r>
      <w:r w:rsidRPr="00E116B6" w:rsidR="00570E7B">
        <w:rPr>
          <w:lang w:val="en-GB"/>
        </w:rPr>
        <w:t>th Section</w:t>
      </w:r>
      <w:r w:rsidRPr="00E116B6">
        <w:rPr>
          <w:lang w:val="en-GB"/>
        </w:rPr>
        <w:t xml:space="preserve">), sitting as a </w:t>
      </w:r>
      <w:r w:rsidRPr="00E116B6" w:rsidR="00570E7B">
        <w:rPr>
          <w:lang w:val="en-GB"/>
        </w:rPr>
        <w:t>Chamber</w:t>
      </w:r>
      <w:r w:rsidRPr="00E116B6">
        <w:rPr>
          <w:lang w:val="en-GB"/>
        </w:rPr>
        <w:t xml:space="preserve"> composed of:</w:t>
      </w:r>
    </w:p>
    <w:p w:rsidRPr="00E116B6" w:rsidR="00014566" w:rsidP="00E116B6" w:rsidRDefault="009E4A8B">
      <w:pPr>
        <w:pStyle w:val="ECHRDecisionBody"/>
        <w:rPr>
          <w:lang w:val="en-GB"/>
        </w:rPr>
      </w:pPr>
      <w:r w:rsidRPr="00E116B6">
        <w:tab/>
        <w:t>Angelika Nußberger,</w:t>
      </w:r>
      <w:r w:rsidRPr="00E116B6">
        <w:rPr>
          <w:i/>
        </w:rPr>
        <w:t xml:space="preserve"> President,</w:t>
      </w:r>
      <w:r w:rsidRPr="00E116B6">
        <w:rPr>
          <w:i/>
        </w:rPr>
        <w:br/>
      </w:r>
      <w:r w:rsidRPr="00E116B6">
        <w:tab/>
        <w:t>Nona Tsotsoria,</w:t>
      </w:r>
      <w:r w:rsidRPr="00E116B6">
        <w:rPr>
          <w:i/>
        </w:rPr>
        <w:br/>
      </w:r>
      <w:r w:rsidRPr="00E116B6">
        <w:tab/>
        <w:t>André Potocki,</w:t>
      </w:r>
      <w:r w:rsidRPr="00E116B6">
        <w:rPr>
          <w:i/>
        </w:rPr>
        <w:br/>
      </w:r>
      <w:r w:rsidRPr="00E116B6">
        <w:tab/>
        <w:t>Yonko Grozev,</w:t>
      </w:r>
      <w:r w:rsidRPr="00E116B6">
        <w:rPr>
          <w:i/>
        </w:rPr>
        <w:br/>
      </w:r>
      <w:r w:rsidRPr="00E116B6">
        <w:tab/>
        <w:t>Mārtiņš Mits,</w:t>
      </w:r>
      <w:r w:rsidRPr="00E116B6">
        <w:rPr>
          <w:i/>
        </w:rPr>
        <w:br/>
      </w:r>
      <w:r w:rsidRPr="00E116B6">
        <w:tab/>
        <w:t>Gabriele Kucsko-Stadlmayer,</w:t>
      </w:r>
      <w:r w:rsidRPr="00E116B6">
        <w:rPr>
          <w:i/>
        </w:rPr>
        <w:br/>
      </w:r>
      <w:r w:rsidRPr="00E116B6">
        <w:tab/>
        <w:t>Lәtif Hüseynov,</w:t>
      </w:r>
      <w:r w:rsidRPr="00E116B6">
        <w:rPr>
          <w:i/>
        </w:rPr>
        <w:t xml:space="preserve"> judges,</w:t>
      </w:r>
      <w:r w:rsidRPr="00E116B6" w:rsidR="00014566">
        <w:rPr>
          <w:szCs w:val="24"/>
          <w:lang w:val="en-GB"/>
        </w:rPr>
        <w:br/>
      </w:r>
      <w:r w:rsidRPr="00E116B6" w:rsidR="00014566">
        <w:rPr>
          <w:lang w:val="en-GB"/>
        </w:rPr>
        <w:t xml:space="preserve">and </w:t>
      </w:r>
      <w:r w:rsidRPr="00E116B6" w:rsidR="001B568E">
        <w:t>Milan Blaško</w:t>
      </w:r>
      <w:r w:rsidRPr="00E116B6" w:rsidR="00014566">
        <w:rPr>
          <w:lang w:val="en-GB"/>
        </w:rPr>
        <w:t xml:space="preserve">, </w:t>
      </w:r>
      <w:r w:rsidRPr="00E116B6" w:rsidR="001B568E">
        <w:rPr>
          <w:i/>
          <w:lang w:val="en-GB"/>
        </w:rPr>
        <w:t>Deputy</w:t>
      </w:r>
      <w:r w:rsidRPr="00E116B6" w:rsidR="001B568E">
        <w:rPr>
          <w:lang w:val="en-GB"/>
        </w:rPr>
        <w:t xml:space="preserve"> </w:t>
      </w:r>
      <w:r w:rsidRPr="00E116B6" w:rsidR="00570E7B">
        <w:rPr>
          <w:i/>
          <w:lang w:val="en-GB"/>
        </w:rPr>
        <w:t>Secti</w:t>
      </w:r>
      <w:r w:rsidRPr="00E116B6" w:rsidR="006555F4">
        <w:rPr>
          <w:i/>
          <w:lang w:val="en-GB"/>
        </w:rPr>
        <w:t xml:space="preserve">on </w:t>
      </w:r>
      <w:r w:rsidRPr="00E116B6" w:rsidR="00570E7B">
        <w:rPr>
          <w:i/>
          <w:iCs/>
          <w:lang w:val="en-GB"/>
        </w:rPr>
        <w:t>Registrar</w:t>
      </w:r>
      <w:r w:rsidRPr="00E116B6" w:rsidR="00014566">
        <w:rPr>
          <w:i/>
          <w:lang w:val="en-GB"/>
        </w:rPr>
        <w:t>,</w:t>
      </w:r>
    </w:p>
    <w:p w:rsidRPr="00E116B6" w:rsidR="00014566" w:rsidP="00E116B6" w:rsidRDefault="00014566">
      <w:pPr>
        <w:pStyle w:val="ECHRPara"/>
        <w:rPr>
          <w:lang w:val="en-GB"/>
        </w:rPr>
      </w:pPr>
      <w:r w:rsidRPr="00E116B6">
        <w:rPr>
          <w:lang w:val="en-GB"/>
        </w:rPr>
        <w:t xml:space="preserve">Having deliberated in private </w:t>
      </w:r>
      <w:r w:rsidRPr="00E116B6" w:rsidR="006555F4">
        <w:rPr>
          <w:lang w:val="en-GB"/>
        </w:rPr>
        <w:t xml:space="preserve">on </w:t>
      </w:r>
      <w:r w:rsidRPr="00E116B6" w:rsidR="009E4A8B">
        <w:rPr>
          <w:lang w:val="en-GB"/>
        </w:rPr>
        <w:t>2 May 2017</w:t>
      </w:r>
      <w:r w:rsidRPr="00E116B6">
        <w:rPr>
          <w:lang w:val="en-GB"/>
        </w:rPr>
        <w:t>,</w:t>
      </w:r>
    </w:p>
    <w:p w:rsidRPr="00E116B6" w:rsidR="00014566" w:rsidP="00E116B6" w:rsidRDefault="00014566">
      <w:pPr>
        <w:pStyle w:val="ECHRPara"/>
        <w:rPr>
          <w:lang w:val="en-GB"/>
        </w:rPr>
      </w:pPr>
      <w:r w:rsidRPr="00E116B6">
        <w:rPr>
          <w:lang w:val="en-GB"/>
        </w:rPr>
        <w:t xml:space="preserve">Delivers the following judgment, which was adopted </w:t>
      </w:r>
      <w:r w:rsidRPr="00E116B6" w:rsidR="006555F4">
        <w:rPr>
          <w:lang w:val="en-GB"/>
        </w:rPr>
        <w:t xml:space="preserve">on </w:t>
      </w:r>
      <w:r w:rsidRPr="00E116B6">
        <w:rPr>
          <w:lang w:val="en-GB"/>
        </w:rPr>
        <w:t>that date:</w:t>
      </w:r>
    </w:p>
    <w:p w:rsidRPr="00E116B6" w:rsidR="00014566" w:rsidP="00E116B6" w:rsidRDefault="00014566">
      <w:pPr>
        <w:pStyle w:val="ECHRTitle1"/>
        <w:rPr>
          <w:lang w:val="en-GB"/>
        </w:rPr>
      </w:pPr>
      <w:r w:rsidRPr="00E116B6">
        <w:rPr>
          <w:lang w:val="en-GB"/>
        </w:rPr>
        <w:t>PROCEDURE</w:t>
      </w:r>
    </w:p>
    <w:p w:rsidRPr="00E116B6" w:rsidR="00AC1180" w:rsidP="00E116B6" w:rsidRDefault="00570E7B">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1</w:t>
      </w:r>
      <w:r w:rsidRPr="00E116B6">
        <w:rPr>
          <w:lang w:val="en-GB"/>
        </w:rPr>
        <w:fldChar w:fldCharType="end"/>
      </w:r>
      <w:r w:rsidRPr="00E116B6" w:rsidR="00014566">
        <w:rPr>
          <w:lang w:val="en-GB"/>
        </w:rPr>
        <w:t xml:space="preserve">.  The case originated in </w:t>
      </w:r>
      <w:r w:rsidRPr="00E116B6">
        <w:rPr>
          <w:lang w:val="en-GB"/>
        </w:rPr>
        <w:t>an applicati</w:t>
      </w:r>
      <w:r w:rsidRPr="00E116B6" w:rsidR="006555F4">
        <w:rPr>
          <w:lang w:val="en-GB"/>
        </w:rPr>
        <w:t xml:space="preserve">on </w:t>
      </w:r>
      <w:r w:rsidRPr="00E116B6">
        <w:rPr>
          <w:lang w:val="en-GB"/>
        </w:rPr>
        <w:t>(no. 21571/05)</w:t>
      </w:r>
      <w:r w:rsidRPr="00E116B6" w:rsidR="00014566">
        <w:rPr>
          <w:lang w:val="en-GB"/>
        </w:rPr>
        <w:t xml:space="preserve"> against </w:t>
      </w:r>
      <w:r w:rsidRPr="00E116B6">
        <w:rPr>
          <w:lang w:val="en-GB"/>
        </w:rPr>
        <w:t>Georgia</w:t>
      </w:r>
      <w:r w:rsidRPr="00E116B6" w:rsidR="00014566">
        <w:rPr>
          <w:lang w:val="en-GB"/>
        </w:rPr>
        <w:t xml:space="preserve"> lodged with the </w:t>
      </w:r>
      <w:r w:rsidRPr="00E116B6">
        <w:rPr>
          <w:lang w:val="en-GB"/>
        </w:rPr>
        <w:t>Court under Article 34</w:t>
      </w:r>
      <w:r w:rsidRPr="00E116B6" w:rsidR="00014566">
        <w:rPr>
          <w:lang w:val="en-GB"/>
        </w:rPr>
        <w:t xml:space="preserve"> of the Conventi</w:t>
      </w:r>
      <w:r w:rsidRPr="00E116B6" w:rsidR="006555F4">
        <w:rPr>
          <w:lang w:val="en-GB"/>
        </w:rPr>
        <w:t xml:space="preserve">on </w:t>
      </w:r>
      <w:r w:rsidRPr="00E116B6" w:rsidR="00014566">
        <w:rPr>
          <w:lang w:val="en-GB"/>
        </w:rPr>
        <w:t>for the Protecti</w:t>
      </w:r>
      <w:r w:rsidRPr="00E116B6" w:rsidR="006555F4">
        <w:rPr>
          <w:lang w:val="en-GB"/>
        </w:rPr>
        <w:t xml:space="preserve">on </w:t>
      </w:r>
      <w:r w:rsidRPr="00E116B6" w:rsidR="00014566">
        <w:rPr>
          <w:lang w:val="en-GB"/>
        </w:rPr>
        <w:t xml:space="preserve">of Human Rights and Fundamental Freedoms (“the Convention”) by </w:t>
      </w:r>
      <w:r w:rsidRPr="00E116B6" w:rsidR="00C55F2B">
        <w:rPr>
          <w:lang w:val="en-GB"/>
        </w:rPr>
        <w:t>two</w:t>
      </w:r>
      <w:r w:rsidRPr="00E116B6">
        <w:rPr>
          <w:lang w:val="en-GB"/>
        </w:rPr>
        <w:t xml:space="preserve"> Georgian nationals, Mr David Mindadze</w:t>
      </w:r>
      <w:r w:rsidRPr="00E116B6" w:rsidR="00C55F2B">
        <w:rPr>
          <w:lang w:val="en-GB"/>
        </w:rPr>
        <w:t xml:space="preserve"> (“the first applicant”)</w:t>
      </w:r>
      <w:r w:rsidRPr="00E116B6">
        <w:rPr>
          <w:lang w:val="en-GB"/>
        </w:rPr>
        <w:t xml:space="preserve"> and Mr</w:t>
      </w:r>
      <w:r w:rsidRPr="00E116B6" w:rsidR="0000400E">
        <w:rPr>
          <w:lang w:val="en-GB"/>
        </w:rPr>
        <w:t> </w:t>
      </w:r>
      <w:r w:rsidRPr="00E116B6" w:rsidR="00C55F2B">
        <w:rPr>
          <w:lang w:val="en-GB"/>
        </w:rPr>
        <w:t>Valerian Nemsitsveridze</w:t>
      </w:r>
      <w:r w:rsidRPr="00E116B6">
        <w:rPr>
          <w:lang w:val="en-GB"/>
        </w:rPr>
        <w:t xml:space="preserve"> (“the </w:t>
      </w:r>
      <w:r w:rsidRPr="00E116B6" w:rsidR="00C55F2B">
        <w:rPr>
          <w:lang w:val="en-GB"/>
        </w:rPr>
        <w:t xml:space="preserve">second </w:t>
      </w:r>
      <w:r w:rsidRPr="00E116B6">
        <w:rPr>
          <w:lang w:val="en-GB"/>
        </w:rPr>
        <w:t xml:space="preserve">applicant”), </w:t>
      </w:r>
      <w:r w:rsidRPr="00E116B6" w:rsidR="006555F4">
        <w:rPr>
          <w:lang w:val="en-GB"/>
        </w:rPr>
        <w:t xml:space="preserve">on </w:t>
      </w:r>
      <w:r w:rsidRPr="00E116B6">
        <w:rPr>
          <w:lang w:val="en-GB"/>
        </w:rPr>
        <w:t>9 May 2005</w:t>
      </w:r>
      <w:r w:rsidRPr="00E116B6" w:rsidR="00014566">
        <w:rPr>
          <w:lang w:val="en-GB"/>
        </w:rPr>
        <w:t>.</w:t>
      </w:r>
    </w:p>
    <w:p w:rsidRPr="00E116B6" w:rsidR="00570E7B" w:rsidP="00E116B6" w:rsidRDefault="00570E7B">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2</w:t>
      </w:r>
      <w:r w:rsidRPr="00E116B6">
        <w:rPr>
          <w:lang w:val="en-GB"/>
        </w:rPr>
        <w:fldChar w:fldCharType="end"/>
      </w:r>
      <w:r w:rsidRPr="00E116B6" w:rsidR="00014566">
        <w:rPr>
          <w:lang w:val="en-GB"/>
        </w:rPr>
        <w:t>.  </w:t>
      </w:r>
      <w:r w:rsidRPr="00E116B6">
        <w:rPr>
          <w:lang w:val="en-GB"/>
        </w:rPr>
        <w:t>The applicants were represented by Ms T. Gabisonia</w:t>
      </w:r>
      <w:r w:rsidRPr="00E116B6" w:rsidR="00C55F2B">
        <w:rPr>
          <w:lang w:val="en-GB"/>
        </w:rPr>
        <w:t xml:space="preserve"> and M</w:t>
      </w:r>
      <w:r w:rsidRPr="00E116B6">
        <w:rPr>
          <w:lang w:val="en-GB"/>
        </w:rPr>
        <w:t>s</w:t>
      </w:r>
      <w:r w:rsidRPr="00E116B6" w:rsidR="00910A60">
        <w:rPr>
          <w:lang w:val="en-GB"/>
        </w:rPr>
        <w:t> </w:t>
      </w:r>
      <w:r w:rsidRPr="00E116B6" w:rsidR="00C55F2B">
        <w:rPr>
          <w:lang w:val="en-GB"/>
        </w:rPr>
        <w:t>M.</w:t>
      </w:r>
      <w:r w:rsidRPr="00E116B6" w:rsidR="0000400E">
        <w:rPr>
          <w:lang w:val="en-GB"/>
        </w:rPr>
        <w:t> </w:t>
      </w:r>
      <w:r w:rsidRPr="00E116B6" w:rsidR="00C55F2B">
        <w:rPr>
          <w:lang w:val="en-GB"/>
        </w:rPr>
        <w:t>Gioshvili</w:t>
      </w:r>
      <w:r w:rsidRPr="00E116B6">
        <w:rPr>
          <w:lang w:val="en-GB"/>
        </w:rPr>
        <w:t xml:space="preserve">, lawyers practising in Tbilisi. </w:t>
      </w:r>
      <w:r w:rsidRPr="00E116B6" w:rsidR="00014566">
        <w:rPr>
          <w:lang w:val="en-GB"/>
        </w:rPr>
        <w:t xml:space="preserve">The </w:t>
      </w:r>
      <w:r w:rsidRPr="00E116B6">
        <w:rPr>
          <w:lang w:val="en-GB"/>
        </w:rPr>
        <w:t>Georgian</w:t>
      </w:r>
      <w:r w:rsidRPr="00E116B6" w:rsidR="00014566">
        <w:rPr>
          <w:lang w:val="en-GB"/>
        </w:rPr>
        <w:t xml:space="preserve"> Government (“the Government”) were represented by their Agent, Mr </w:t>
      </w:r>
      <w:r w:rsidRPr="00E116B6" w:rsidR="00C55F2B">
        <w:rPr>
          <w:lang w:val="en-GB"/>
        </w:rPr>
        <w:t>L. Meskhoradze</w:t>
      </w:r>
      <w:r w:rsidRPr="00E116B6" w:rsidR="00014566">
        <w:rPr>
          <w:lang w:val="en-GB"/>
        </w:rPr>
        <w:t xml:space="preserve">, </w:t>
      </w:r>
      <w:r w:rsidRPr="00E116B6" w:rsidR="00C55F2B">
        <w:rPr>
          <w:lang w:val="en-GB"/>
        </w:rPr>
        <w:t>of the Ministry of Justice</w:t>
      </w:r>
      <w:r w:rsidRPr="00E116B6" w:rsidR="00014566">
        <w:rPr>
          <w:lang w:val="en-GB"/>
        </w:rPr>
        <w:t>.</w:t>
      </w:r>
    </w:p>
    <w:p w:rsidRPr="00E116B6" w:rsidR="00282805" w:rsidP="00E116B6" w:rsidRDefault="00570E7B">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3</w:t>
      </w:r>
      <w:r w:rsidRPr="00E116B6">
        <w:rPr>
          <w:lang w:val="en-GB"/>
        </w:rPr>
        <w:fldChar w:fldCharType="end"/>
      </w:r>
      <w:r w:rsidRPr="00E116B6">
        <w:rPr>
          <w:lang w:val="en-GB"/>
        </w:rPr>
        <w:t xml:space="preserve">.  The applicants alleged, in particular, </w:t>
      </w:r>
      <w:r w:rsidRPr="00E116B6" w:rsidR="00C35904">
        <w:rPr>
          <w:lang w:val="en-GB"/>
        </w:rPr>
        <w:t>that</w:t>
      </w:r>
      <w:r w:rsidRPr="00E116B6" w:rsidR="00282805">
        <w:rPr>
          <w:lang w:val="en-GB"/>
        </w:rPr>
        <w:t xml:space="preserve"> </w:t>
      </w:r>
      <w:r w:rsidRPr="00E116B6" w:rsidR="00C35904">
        <w:rPr>
          <w:lang w:val="en-GB"/>
        </w:rPr>
        <w:t xml:space="preserve">the first applicant had been subjected to ill-treatment by the police </w:t>
      </w:r>
      <w:r w:rsidRPr="00E116B6" w:rsidR="00282805">
        <w:rPr>
          <w:lang w:val="en-GB"/>
        </w:rPr>
        <w:t>up</w:t>
      </w:r>
      <w:r w:rsidRPr="00E116B6" w:rsidR="006555F4">
        <w:rPr>
          <w:lang w:val="en-GB"/>
        </w:rPr>
        <w:t xml:space="preserve">on </w:t>
      </w:r>
      <w:r w:rsidRPr="00E116B6" w:rsidR="00282805">
        <w:rPr>
          <w:lang w:val="en-GB"/>
        </w:rPr>
        <w:t>his arrest</w:t>
      </w:r>
      <w:r w:rsidRPr="00E116B6" w:rsidR="00756975">
        <w:rPr>
          <w:lang w:val="en-GB"/>
        </w:rPr>
        <w:t xml:space="preserve">, </w:t>
      </w:r>
      <w:r w:rsidRPr="00E116B6" w:rsidR="00D44E52">
        <w:rPr>
          <w:lang w:val="en-GB"/>
        </w:rPr>
        <w:t>that the conditions and a period of both applicants</w:t>
      </w:r>
      <w:r w:rsidRPr="00E116B6" w:rsidR="00E116B6">
        <w:rPr>
          <w:lang w:val="en-GB"/>
        </w:rPr>
        <w:t>’</w:t>
      </w:r>
      <w:r w:rsidRPr="00E116B6" w:rsidR="00D44E52">
        <w:rPr>
          <w:lang w:val="en-GB"/>
        </w:rPr>
        <w:t xml:space="preserve"> pre-trial detenti</w:t>
      </w:r>
      <w:r w:rsidRPr="00E116B6" w:rsidR="006555F4">
        <w:rPr>
          <w:lang w:val="en-GB"/>
        </w:rPr>
        <w:t xml:space="preserve">on </w:t>
      </w:r>
      <w:r w:rsidRPr="00E116B6" w:rsidR="00D44E52">
        <w:rPr>
          <w:lang w:val="en-GB"/>
        </w:rPr>
        <w:t xml:space="preserve">had been, respectively, poor and unlawful, that </w:t>
      </w:r>
      <w:r w:rsidRPr="00E116B6" w:rsidR="00282805">
        <w:rPr>
          <w:lang w:val="en-GB"/>
        </w:rPr>
        <w:t>certain detenti</w:t>
      </w:r>
      <w:r w:rsidRPr="00E116B6" w:rsidR="006555F4">
        <w:rPr>
          <w:lang w:val="en-GB"/>
        </w:rPr>
        <w:t xml:space="preserve">on </w:t>
      </w:r>
      <w:r w:rsidRPr="00E116B6" w:rsidR="00282805">
        <w:rPr>
          <w:lang w:val="en-GB"/>
        </w:rPr>
        <w:t>orders had lacked adequate</w:t>
      </w:r>
      <w:r w:rsidRPr="00E116B6" w:rsidR="00D44E52">
        <w:rPr>
          <w:lang w:val="en-GB"/>
        </w:rPr>
        <w:t xml:space="preserve"> reason</w:t>
      </w:r>
      <w:r w:rsidRPr="00E116B6" w:rsidR="00282805">
        <w:rPr>
          <w:lang w:val="en-GB"/>
        </w:rPr>
        <w:t>s</w:t>
      </w:r>
      <w:r w:rsidRPr="00E116B6" w:rsidR="00D44E52">
        <w:rPr>
          <w:lang w:val="en-GB"/>
        </w:rPr>
        <w:t xml:space="preserve"> </w:t>
      </w:r>
      <w:r w:rsidRPr="00E116B6" w:rsidR="00C35904">
        <w:rPr>
          <w:lang w:val="en-GB"/>
        </w:rPr>
        <w:t>and that the criminal proceedings against both</w:t>
      </w:r>
      <w:r w:rsidRPr="00E116B6" w:rsidR="00282805">
        <w:rPr>
          <w:lang w:val="en-GB"/>
        </w:rPr>
        <w:t xml:space="preserve"> applicants</w:t>
      </w:r>
      <w:r w:rsidRPr="00E116B6" w:rsidR="00C35904">
        <w:rPr>
          <w:lang w:val="en-GB"/>
        </w:rPr>
        <w:t xml:space="preserve"> had been unfair</w:t>
      </w:r>
      <w:r w:rsidRPr="00E116B6">
        <w:rPr>
          <w:lang w:val="en-GB"/>
        </w:rPr>
        <w:t>.</w:t>
      </w:r>
    </w:p>
    <w:p w:rsidRPr="00E116B6" w:rsidR="00AC1180" w:rsidP="00E116B6" w:rsidRDefault="00282805">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4</w:t>
      </w:r>
      <w:r w:rsidRPr="00E116B6">
        <w:rPr>
          <w:lang w:val="en-GB"/>
        </w:rPr>
        <w:fldChar w:fldCharType="end"/>
      </w:r>
      <w:r w:rsidRPr="00E116B6">
        <w:rPr>
          <w:lang w:val="en-GB"/>
        </w:rPr>
        <w:t>.  </w:t>
      </w:r>
      <w:r w:rsidRPr="00E116B6" w:rsidR="00151CAD">
        <w:rPr>
          <w:lang w:val="en-GB"/>
        </w:rPr>
        <w:t xml:space="preserve">On 17 November 2009 the Court </w:t>
      </w:r>
      <w:r w:rsidRPr="00E116B6" w:rsidR="00756975">
        <w:rPr>
          <w:lang w:val="en-GB"/>
        </w:rPr>
        <w:t>adopted a partial inadmissibility decision, giving notice of the</w:t>
      </w:r>
      <w:r w:rsidRPr="00E116B6" w:rsidR="00151CAD">
        <w:rPr>
          <w:lang w:val="en-GB"/>
        </w:rPr>
        <w:t xml:space="preserve"> remaining complaints to the Government.</w:t>
      </w:r>
    </w:p>
    <w:p w:rsidRPr="00E116B6" w:rsidR="00014566" w:rsidP="00E116B6" w:rsidRDefault="00014566">
      <w:pPr>
        <w:pStyle w:val="ECHRTitle1"/>
        <w:rPr>
          <w:lang w:val="en-GB"/>
        </w:rPr>
      </w:pPr>
      <w:r w:rsidRPr="00E116B6">
        <w:rPr>
          <w:lang w:val="en-GB"/>
        </w:rPr>
        <w:t>THE FACTS</w:t>
      </w:r>
    </w:p>
    <w:p w:rsidRPr="00E116B6" w:rsidR="00014566" w:rsidP="00E116B6" w:rsidRDefault="00014566">
      <w:pPr>
        <w:pStyle w:val="ECHRHeading1"/>
        <w:rPr>
          <w:lang w:val="en-GB"/>
        </w:rPr>
      </w:pPr>
      <w:r w:rsidRPr="00E116B6">
        <w:rPr>
          <w:lang w:val="en-GB"/>
        </w:rPr>
        <w:t>I.  THE CIRCUMSTANCES OF THE CASE</w:t>
      </w:r>
    </w:p>
    <w:p w:rsidRPr="00E116B6" w:rsidR="00014566" w:rsidP="00E116B6" w:rsidRDefault="00570E7B">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5</w:t>
      </w:r>
      <w:r w:rsidRPr="00E116B6">
        <w:rPr>
          <w:lang w:val="en-GB"/>
        </w:rPr>
        <w:fldChar w:fldCharType="end"/>
      </w:r>
      <w:r w:rsidRPr="00E116B6" w:rsidR="00014566">
        <w:rPr>
          <w:lang w:val="en-GB"/>
        </w:rPr>
        <w:t xml:space="preserve">.  The </w:t>
      </w:r>
      <w:r w:rsidRPr="00E116B6">
        <w:rPr>
          <w:lang w:val="en-GB"/>
        </w:rPr>
        <w:t>applicant</w:t>
      </w:r>
      <w:r w:rsidRPr="00E116B6" w:rsidR="0073558C">
        <w:rPr>
          <w:lang w:val="en-GB"/>
        </w:rPr>
        <w:t>s</w:t>
      </w:r>
      <w:r w:rsidRPr="00E116B6">
        <w:rPr>
          <w:lang w:val="en-GB"/>
        </w:rPr>
        <w:t xml:space="preserve"> w</w:t>
      </w:r>
      <w:r w:rsidRPr="00E116B6" w:rsidR="0073558C">
        <w:rPr>
          <w:lang w:val="en-GB"/>
        </w:rPr>
        <w:t>ere</w:t>
      </w:r>
      <w:r w:rsidRPr="00E116B6">
        <w:rPr>
          <w:lang w:val="en-GB"/>
        </w:rPr>
        <w:t xml:space="preserve"> born in 1977</w:t>
      </w:r>
      <w:r w:rsidRPr="00E116B6" w:rsidR="0073558C">
        <w:rPr>
          <w:lang w:val="en-GB"/>
        </w:rPr>
        <w:t xml:space="preserve"> and 1979</w:t>
      </w:r>
      <w:r w:rsidRPr="00E116B6">
        <w:rPr>
          <w:lang w:val="en-GB"/>
        </w:rPr>
        <w:t xml:space="preserve"> </w:t>
      </w:r>
      <w:r w:rsidRPr="00E116B6" w:rsidR="00A811D9">
        <w:rPr>
          <w:lang w:val="en-GB"/>
        </w:rPr>
        <w:t xml:space="preserve">respectively </w:t>
      </w:r>
      <w:r w:rsidRPr="00E116B6">
        <w:rPr>
          <w:lang w:val="en-GB"/>
        </w:rPr>
        <w:t>and live</w:t>
      </w:r>
      <w:r w:rsidRPr="00E116B6" w:rsidR="00014566">
        <w:rPr>
          <w:lang w:val="en-GB"/>
        </w:rPr>
        <w:t xml:space="preserve"> in </w:t>
      </w:r>
      <w:r w:rsidRPr="00E116B6">
        <w:rPr>
          <w:lang w:val="en-GB"/>
        </w:rPr>
        <w:t>Tbilisi</w:t>
      </w:r>
      <w:r w:rsidRPr="00E116B6" w:rsidR="00756975">
        <w:rPr>
          <w:lang w:val="en-GB"/>
        </w:rPr>
        <w:t xml:space="preserve"> and Tskaltubo</w:t>
      </w:r>
      <w:r w:rsidRPr="00E116B6" w:rsidR="00014566">
        <w:rPr>
          <w:lang w:val="en-GB"/>
        </w:rPr>
        <w:t>.</w:t>
      </w:r>
    </w:p>
    <w:p w:rsidRPr="00E116B6" w:rsidR="0073558C" w:rsidP="00E116B6" w:rsidRDefault="006555F4">
      <w:pPr>
        <w:pStyle w:val="ECHRHeading2"/>
        <w:rPr>
          <w:lang w:val="en-GB"/>
        </w:rPr>
      </w:pPr>
      <w:r w:rsidRPr="00E116B6">
        <w:rPr>
          <w:lang w:val="en-GB"/>
        </w:rPr>
        <w:t>A.  </w:t>
      </w:r>
      <w:r w:rsidRPr="00E116B6" w:rsidR="00581DB1">
        <w:rPr>
          <w:lang w:val="en-GB"/>
        </w:rPr>
        <w:t>The applicants</w:t>
      </w:r>
      <w:r w:rsidRPr="00E116B6" w:rsidR="00E116B6">
        <w:rPr>
          <w:lang w:val="en-GB"/>
        </w:rPr>
        <w:t>’</w:t>
      </w:r>
      <w:r w:rsidRPr="00E116B6" w:rsidR="00581DB1">
        <w:rPr>
          <w:lang w:val="en-GB"/>
        </w:rPr>
        <w:t xml:space="preserve"> arrest and </w:t>
      </w:r>
      <w:r w:rsidRPr="00E116B6" w:rsidR="00A811D9">
        <w:rPr>
          <w:lang w:val="en-GB"/>
        </w:rPr>
        <w:t>initial</w:t>
      </w:r>
      <w:r w:rsidRPr="00E116B6" w:rsidR="00581DB1">
        <w:rPr>
          <w:lang w:val="en-GB"/>
        </w:rPr>
        <w:t xml:space="preserve"> investigative actions</w:t>
      </w:r>
    </w:p>
    <w:p w:rsidRPr="00E116B6" w:rsidR="00014566" w:rsidP="00E116B6" w:rsidRDefault="00570E7B">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6</w:t>
      </w:r>
      <w:r w:rsidRPr="00E116B6">
        <w:rPr>
          <w:lang w:val="en-GB"/>
        </w:rPr>
        <w:fldChar w:fldCharType="end"/>
      </w:r>
      <w:r w:rsidRPr="00E116B6" w:rsidR="00014566">
        <w:rPr>
          <w:lang w:val="en-GB"/>
        </w:rPr>
        <w:t>.  </w:t>
      </w:r>
      <w:r w:rsidRPr="00E116B6" w:rsidR="0073558C">
        <w:rPr>
          <w:lang w:val="en-GB"/>
        </w:rPr>
        <w:t>On 20 January 2004 criminal proceedings were brought against un</w:t>
      </w:r>
      <w:r w:rsidRPr="00E116B6" w:rsidR="00E662BF">
        <w:rPr>
          <w:lang w:val="en-GB"/>
        </w:rPr>
        <w:t xml:space="preserve">identified people </w:t>
      </w:r>
      <w:r w:rsidRPr="00E116B6" w:rsidR="0073558C">
        <w:rPr>
          <w:lang w:val="en-GB"/>
        </w:rPr>
        <w:t>following an arm</w:t>
      </w:r>
      <w:r w:rsidRPr="00E116B6" w:rsidR="004A4A9B">
        <w:rPr>
          <w:lang w:val="en-GB"/>
        </w:rPr>
        <w:t xml:space="preserve">ed attack </w:t>
      </w:r>
      <w:r w:rsidRPr="00E116B6" w:rsidR="006555F4">
        <w:rPr>
          <w:lang w:val="en-GB"/>
        </w:rPr>
        <w:t xml:space="preserve">on </w:t>
      </w:r>
      <w:r w:rsidRPr="00E116B6" w:rsidR="00756975">
        <w:rPr>
          <w:lang w:val="en-GB"/>
        </w:rPr>
        <w:t>K.G.</w:t>
      </w:r>
      <w:r w:rsidRPr="00E116B6" w:rsidR="0073558C">
        <w:rPr>
          <w:lang w:val="en-GB"/>
        </w:rPr>
        <w:t>, a member of the Georgian Parliament (“the member of parliament”).</w:t>
      </w:r>
    </w:p>
    <w:p w:rsidRPr="00E116B6" w:rsidR="00AC1180" w:rsidP="00E116B6" w:rsidRDefault="00676C2B">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7</w:t>
      </w:r>
      <w:r w:rsidRPr="00E116B6">
        <w:rPr>
          <w:lang w:val="en-GB"/>
        </w:rPr>
        <w:fldChar w:fldCharType="end"/>
      </w:r>
      <w:r w:rsidRPr="00E116B6">
        <w:rPr>
          <w:lang w:val="en-GB"/>
        </w:rPr>
        <w:t xml:space="preserve">.  On 4 February 2004 the </w:t>
      </w:r>
      <w:r w:rsidRPr="00E116B6" w:rsidR="00357DB0">
        <w:rPr>
          <w:lang w:val="en-GB"/>
        </w:rPr>
        <w:t>victim was questioned for the fi</w:t>
      </w:r>
      <w:r w:rsidRPr="00E116B6">
        <w:rPr>
          <w:lang w:val="en-GB"/>
        </w:rPr>
        <w:t>rst time by an</w:t>
      </w:r>
      <w:r w:rsidRPr="00E116B6" w:rsidR="0046550C">
        <w:rPr>
          <w:lang w:val="en-GB"/>
        </w:rPr>
        <w:t xml:space="preserve"> </w:t>
      </w:r>
      <w:r w:rsidRPr="00E116B6">
        <w:rPr>
          <w:lang w:val="en-GB"/>
        </w:rPr>
        <w:t xml:space="preserve">investigator. A </w:t>
      </w:r>
      <w:r w:rsidRPr="00E116B6" w:rsidR="0058134C">
        <w:rPr>
          <w:lang w:val="en-GB"/>
        </w:rPr>
        <w:t>photofit</w:t>
      </w:r>
      <w:r w:rsidRPr="00E116B6">
        <w:rPr>
          <w:lang w:val="en-GB"/>
        </w:rPr>
        <w:t xml:space="preserve"> image of the attacker was created with the help of </w:t>
      </w:r>
      <w:r w:rsidRPr="00E116B6" w:rsidR="00E662BF">
        <w:rPr>
          <w:lang w:val="en-GB"/>
        </w:rPr>
        <w:t>the victim</w:t>
      </w:r>
      <w:r w:rsidRPr="00E116B6" w:rsidR="00E116B6">
        <w:rPr>
          <w:lang w:val="en-GB"/>
        </w:rPr>
        <w:t>’</w:t>
      </w:r>
      <w:r w:rsidRPr="00E116B6" w:rsidR="00E662BF">
        <w:rPr>
          <w:lang w:val="en-GB"/>
        </w:rPr>
        <w:t xml:space="preserve">s </w:t>
      </w:r>
      <w:r w:rsidRPr="00E116B6">
        <w:rPr>
          <w:lang w:val="en-GB"/>
        </w:rPr>
        <w:t xml:space="preserve">description, </w:t>
      </w:r>
      <w:r w:rsidRPr="00E116B6" w:rsidR="00E662BF">
        <w:rPr>
          <w:lang w:val="en-GB"/>
        </w:rPr>
        <w:t xml:space="preserve">but </w:t>
      </w:r>
      <w:r w:rsidRPr="00E116B6">
        <w:rPr>
          <w:lang w:val="en-GB"/>
        </w:rPr>
        <w:t xml:space="preserve">the member of parliament also added that he did not know who the </w:t>
      </w:r>
      <w:r w:rsidRPr="00E116B6" w:rsidR="00DF43F4">
        <w:rPr>
          <w:lang w:val="en-GB"/>
        </w:rPr>
        <w:t>attacker</w:t>
      </w:r>
      <w:r w:rsidRPr="00E116B6">
        <w:rPr>
          <w:lang w:val="en-GB"/>
        </w:rPr>
        <w:t xml:space="preserve"> was.</w:t>
      </w:r>
    </w:p>
    <w:bookmarkStart w:name="psm" w:id="1"/>
    <w:p w:rsidRPr="00E116B6" w:rsidR="0058134C" w:rsidP="00E116B6" w:rsidRDefault="0058134C">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8</w:t>
      </w:r>
      <w:r w:rsidRPr="00E116B6">
        <w:rPr>
          <w:lang w:val="en-GB"/>
        </w:rPr>
        <w:fldChar w:fldCharType="end"/>
      </w:r>
      <w:bookmarkEnd w:id="1"/>
      <w:r w:rsidRPr="00E116B6">
        <w:rPr>
          <w:lang w:val="en-GB"/>
        </w:rPr>
        <w:t xml:space="preserve">.  On 25 February 2004 the investigator drew </w:t>
      </w:r>
      <w:r w:rsidRPr="00E116B6" w:rsidR="00A811D9">
        <w:rPr>
          <w:lang w:val="en-GB"/>
        </w:rPr>
        <w:t xml:space="preserve">up </w:t>
      </w:r>
      <w:r w:rsidRPr="00E116B6">
        <w:rPr>
          <w:lang w:val="en-GB"/>
        </w:rPr>
        <w:t xml:space="preserve">a report </w:t>
      </w:r>
      <w:r w:rsidRPr="00E116B6" w:rsidR="006555F4">
        <w:rPr>
          <w:lang w:val="en-GB"/>
        </w:rPr>
        <w:t xml:space="preserve">on </w:t>
      </w:r>
      <w:r w:rsidRPr="00E116B6">
        <w:rPr>
          <w:lang w:val="en-GB"/>
        </w:rPr>
        <w:t xml:space="preserve">the </w:t>
      </w:r>
      <w:r w:rsidRPr="00E116B6" w:rsidR="00DF43F4">
        <w:rPr>
          <w:lang w:val="en-GB"/>
        </w:rPr>
        <w:t xml:space="preserve">handing in </w:t>
      </w:r>
      <w:r w:rsidRPr="00E116B6" w:rsidR="00E30646">
        <w:rPr>
          <w:lang w:val="en-GB"/>
        </w:rPr>
        <w:t xml:space="preserve">to the police </w:t>
      </w:r>
      <w:r w:rsidRPr="00E116B6">
        <w:rPr>
          <w:lang w:val="en-GB"/>
        </w:rPr>
        <w:t>of a PSM pistol, equipped with a silencer, by a woman and her child. Notably, according to th</w:t>
      </w:r>
      <w:r w:rsidRPr="00E116B6" w:rsidR="00A811D9">
        <w:rPr>
          <w:lang w:val="en-GB"/>
        </w:rPr>
        <w:t>e</w:t>
      </w:r>
      <w:r w:rsidRPr="00E116B6">
        <w:rPr>
          <w:lang w:val="en-GB"/>
        </w:rPr>
        <w:t xml:space="preserve"> report, the child had found the weap</w:t>
      </w:r>
      <w:r w:rsidRPr="00E116B6" w:rsidR="006555F4">
        <w:rPr>
          <w:lang w:val="en-GB"/>
        </w:rPr>
        <w:t xml:space="preserve">on </w:t>
      </w:r>
      <w:r w:rsidRPr="00E116B6">
        <w:rPr>
          <w:lang w:val="en-GB"/>
        </w:rPr>
        <w:t xml:space="preserve">while playing with his mother in </w:t>
      </w:r>
      <w:r w:rsidRPr="00E116B6" w:rsidR="00DF43F4">
        <w:rPr>
          <w:lang w:val="en-GB"/>
        </w:rPr>
        <w:t xml:space="preserve">the back </w:t>
      </w:r>
      <w:r w:rsidRPr="00E116B6">
        <w:rPr>
          <w:lang w:val="en-GB"/>
        </w:rPr>
        <w:t xml:space="preserve">yard of their house, close </w:t>
      </w:r>
      <w:r w:rsidRPr="00E116B6" w:rsidR="00A811D9">
        <w:rPr>
          <w:lang w:val="en-GB"/>
        </w:rPr>
        <w:t xml:space="preserve">to </w:t>
      </w:r>
      <w:r w:rsidRPr="00E116B6">
        <w:rPr>
          <w:lang w:val="en-GB"/>
        </w:rPr>
        <w:t xml:space="preserve">where the member of parliament had been attacked. The report </w:t>
      </w:r>
      <w:r w:rsidRPr="00E116B6" w:rsidR="006555F4">
        <w:rPr>
          <w:lang w:val="en-GB"/>
        </w:rPr>
        <w:t xml:space="preserve">on </w:t>
      </w:r>
      <w:r w:rsidRPr="00E116B6">
        <w:rPr>
          <w:lang w:val="en-GB"/>
        </w:rPr>
        <w:t xml:space="preserve">the </w:t>
      </w:r>
      <w:r w:rsidRPr="00E116B6" w:rsidR="00E662BF">
        <w:rPr>
          <w:lang w:val="en-GB"/>
        </w:rPr>
        <w:t xml:space="preserve">handing in of the </w:t>
      </w:r>
      <w:r w:rsidRPr="00E116B6">
        <w:rPr>
          <w:lang w:val="en-GB"/>
        </w:rPr>
        <w:t xml:space="preserve">gun was </w:t>
      </w:r>
      <w:r w:rsidRPr="00E116B6" w:rsidR="00A811D9">
        <w:rPr>
          <w:lang w:val="en-GB"/>
        </w:rPr>
        <w:t xml:space="preserve">also </w:t>
      </w:r>
      <w:r w:rsidRPr="00E116B6">
        <w:rPr>
          <w:lang w:val="en-GB"/>
        </w:rPr>
        <w:t>signed by two taxi drivers and an interpreter.</w:t>
      </w:r>
    </w:p>
    <w:p w:rsidRPr="00E116B6" w:rsidR="0073558C" w:rsidP="00E116B6" w:rsidRDefault="004C4CF3">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9</w:t>
      </w:r>
      <w:r w:rsidRPr="00E116B6">
        <w:rPr>
          <w:lang w:val="en-GB"/>
        </w:rPr>
        <w:fldChar w:fldCharType="end"/>
      </w:r>
      <w:r w:rsidRPr="00E116B6" w:rsidR="0073558C">
        <w:rPr>
          <w:lang w:val="en-GB"/>
        </w:rPr>
        <w:t xml:space="preserve">.  On 13 May 2004, at around 10 a.m., the first applicant, who had </w:t>
      </w:r>
      <w:r w:rsidRPr="00E116B6" w:rsidR="00415610">
        <w:rPr>
          <w:lang w:val="en-GB"/>
        </w:rPr>
        <w:t xml:space="preserve">two convictions for </w:t>
      </w:r>
      <w:r w:rsidRPr="00E116B6" w:rsidR="00AC44B4">
        <w:rPr>
          <w:lang w:val="en-GB"/>
        </w:rPr>
        <w:t xml:space="preserve">robbery </w:t>
      </w:r>
      <w:r w:rsidRPr="00E116B6" w:rsidR="00415610">
        <w:rPr>
          <w:lang w:val="en-GB"/>
        </w:rPr>
        <w:t>and drug</w:t>
      </w:r>
      <w:r w:rsidRPr="00E116B6" w:rsidR="00732C41">
        <w:rPr>
          <w:lang w:val="en-GB"/>
        </w:rPr>
        <w:t>s</w:t>
      </w:r>
      <w:r w:rsidRPr="00E116B6" w:rsidR="00415610">
        <w:rPr>
          <w:lang w:val="en-GB"/>
        </w:rPr>
        <w:t xml:space="preserve"> offences,</w:t>
      </w:r>
      <w:r w:rsidRPr="00E116B6" w:rsidR="0073558C">
        <w:rPr>
          <w:lang w:val="en-GB"/>
        </w:rPr>
        <w:t xml:space="preserve"> was arrested in </w:t>
      </w:r>
      <w:r w:rsidRPr="00E116B6" w:rsidR="00732C41">
        <w:rPr>
          <w:lang w:val="en-GB"/>
        </w:rPr>
        <w:t xml:space="preserve">the </w:t>
      </w:r>
      <w:r w:rsidRPr="00E116B6" w:rsidR="0073558C">
        <w:rPr>
          <w:lang w:val="en-GB"/>
        </w:rPr>
        <w:t xml:space="preserve">street in </w:t>
      </w:r>
      <w:r w:rsidRPr="00E116B6" w:rsidR="00E662BF">
        <w:rPr>
          <w:lang w:val="en-GB"/>
        </w:rPr>
        <w:t>connecti</w:t>
      </w:r>
      <w:r w:rsidRPr="00E116B6" w:rsidR="006555F4">
        <w:rPr>
          <w:lang w:val="en-GB"/>
        </w:rPr>
        <w:t xml:space="preserve">on </w:t>
      </w:r>
      <w:r w:rsidRPr="00E116B6" w:rsidR="00E662BF">
        <w:rPr>
          <w:lang w:val="en-GB"/>
        </w:rPr>
        <w:t xml:space="preserve">with </w:t>
      </w:r>
      <w:r w:rsidRPr="00E116B6" w:rsidR="0073558C">
        <w:rPr>
          <w:lang w:val="en-GB"/>
        </w:rPr>
        <w:t xml:space="preserve">the above-mentioned criminal case </w:t>
      </w:r>
      <w:r w:rsidRPr="00E116B6" w:rsidR="006555F4">
        <w:rPr>
          <w:lang w:val="en-GB"/>
        </w:rPr>
        <w:t xml:space="preserve">on </w:t>
      </w:r>
      <w:r w:rsidRPr="00E116B6" w:rsidR="0073558C">
        <w:rPr>
          <w:lang w:val="en-GB"/>
        </w:rPr>
        <w:t>suspici</w:t>
      </w:r>
      <w:r w:rsidRPr="00E116B6" w:rsidR="006555F4">
        <w:rPr>
          <w:lang w:val="en-GB"/>
        </w:rPr>
        <w:t xml:space="preserve">on </w:t>
      </w:r>
      <w:r w:rsidRPr="00E116B6" w:rsidR="0073558C">
        <w:rPr>
          <w:lang w:val="en-GB"/>
        </w:rPr>
        <w:t xml:space="preserve">of attempted murder. </w:t>
      </w:r>
      <w:r w:rsidRPr="00E116B6" w:rsidR="00732C41">
        <w:rPr>
          <w:lang w:val="en-GB"/>
        </w:rPr>
        <w:t xml:space="preserve">He was searched </w:t>
      </w:r>
      <w:r w:rsidRPr="00E116B6" w:rsidR="0073558C">
        <w:rPr>
          <w:lang w:val="en-GB"/>
        </w:rPr>
        <w:t xml:space="preserve">in the presence of two witnesses at the time of his arrest, </w:t>
      </w:r>
      <w:r w:rsidRPr="00E116B6" w:rsidR="00732C41">
        <w:rPr>
          <w:lang w:val="en-GB"/>
        </w:rPr>
        <w:t xml:space="preserve">which </w:t>
      </w:r>
      <w:r w:rsidRPr="00E116B6" w:rsidR="0073558C">
        <w:rPr>
          <w:lang w:val="en-GB"/>
        </w:rPr>
        <w:t>revealed that he was in possessi</w:t>
      </w:r>
      <w:r w:rsidRPr="00E116B6" w:rsidR="006555F4">
        <w:rPr>
          <w:lang w:val="en-GB"/>
        </w:rPr>
        <w:t xml:space="preserve">on </w:t>
      </w:r>
      <w:r w:rsidRPr="00E116B6" w:rsidR="0073558C">
        <w:rPr>
          <w:lang w:val="en-GB"/>
        </w:rPr>
        <w:t>of a Browning pistol.</w:t>
      </w:r>
    </w:p>
    <w:bookmarkStart w:name="confession1" w:id="2"/>
    <w:p w:rsidRPr="00E116B6" w:rsidR="00AC1180" w:rsidP="00E116B6" w:rsidRDefault="0073558C">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10</w:t>
      </w:r>
      <w:r w:rsidRPr="00E116B6">
        <w:rPr>
          <w:lang w:val="en-GB"/>
        </w:rPr>
        <w:fldChar w:fldCharType="end"/>
      </w:r>
      <w:bookmarkEnd w:id="2"/>
      <w:r w:rsidRPr="00E116B6">
        <w:rPr>
          <w:lang w:val="en-GB"/>
        </w:rPr>
        <w:t xml:space="preserve">.  The applicant was </w:t>
      </w:r>
      <w:r w:rsidRPr="00E116B6" w:rsidR="00732C41">
        <w:rPr>
          <w:lang w:val="en-GB"/>
        </w:rPr>
        <w:t xml:space="preserve">taken under arrest </w:t>
      </w:r>
      <w:r w:rsidRPr="00E116B6">
        <w:rPr>
          <w:lang w:val="en-GB"/>
        </w:rPr>
        <w:t xml:space="preserve">to </w:t>
      </w:r>
      <w:r w:rsidRPr="00E116B6" w:rsidR="00E600A4">
        <w:rPr>
          <w:lang w:val="en-GB"/>
        </w:rPr>
        <w:t>Tbilisi police headquarters</w:t>
      </w:r>
      <w:r w:rsidRPr="00E116B6">
        <w:rPr>
          <w:lang w:val="en-GB"/>
        </w:rPr>
        <w:t xml:space="preserve"> and </w:t>
      </w:r>
      <w:r w:rsidRPr="00E116B6" w:rsidR="00732C41">
        <w:rPr>
          <w:lang w:val="en-GB"/>
        </w:rPr>
        <w:t xml:space="preserve">put in </w:t>
      </w:r>
      <w:r w:rsidRPr="00E116B6">
        <w:rPr>
          <w:lang w:val="en-GB"/>
        </w:rPr>
        <w:t xml:space="preserve">an office </w:t>
      </w:r>
      <w:r w:rsidRPr="00E116B6" w:rsidR="00732C41">
        <w:rPr>
          <w:lang w:val="en-GB"/>
        </w:rPr>
        <w:t xml:space="preserve">to be questioned by </w:t>
      </w:r>
      <w:r w:rsidRPr="00E116B6">
        <w:rPr>
          <w:lang w:val="en-GB"/>
        </w:rPr>
        <w:t>a</w:t>
      </w:r>
      <w:r w:rsidRPr="00E116B6" w:rsidR="009F5F35">
        <w:rPr>
          <w:lang w:val="en-GB"/>
        </w:rPr>
        <w:t xml:space="preserve"> police officer</w:t>
      </w:r>
      <w:r w:rsidRPr="00E116B6" w:rsidR="00AC3EA3">
        <w:rPr>
          <w:lang w:val="en-GB"/>
        </w:rPr>
        <w:t xml:space="preserve">, </w:t>
      </w:r>
      <w:r w:rsidRPr="00E116B6" w:rsidR="00AC44B4">
        <w:rPr>
          <w:lang w:val="en-GB"/>
        </w:rPr>
        <w:t>D.</w:t>
      </w:r>
      <w:r w:rsidRPr="00E116B6" w:rsidR="00AC3EA3">
        <w:rPr>
          <w:lang w:val="en-GB"/>
        </w:rPr>
        <w:t>Ch.</w:t>
      </w:r>
      <w:r w:rsidRPr="00E116B6" w:rsidR="004A4A9B">
        <w:rPr>
          <w:lang w:val="en-GB"/>
        </w:rPr>
        <w:t xml:space="preserve"> </w:t>
      </w:r>
      <w:r w:rsidRPr="00E116B6" w:rsidR="00732C41">
        <w:rPr>
          <w:lang w:val="en-GB"/>
        </w:rPr>
        <w:t>He confessed d</w:t>
      </w:r>
      <w:r w:rsidRPr="00E116B6">
        <w:rPr>
          <w:lang w:val="en-GB"/>
        </w:rPr>
        <w:t>uring th</w:t>
      </w:r>
      <w:r w:rsidRPr="00E116B6" w:rsidR="00732C41">
        <w:rPr>
          <w:lang w:val="en-GB"/>
        </w:rPr>
        <w:t xml:space="preserve">e </w:t>
      </w:r>
      <w:r w:rsidRPr="00E116B6">
        <w:rPr>
          <w:lang w:val="en-GB"/>
        </w:rPr>
        <w:t xml:space="preserve">interview </w:t>
      </w:r>
      <w:r w:rsidRPr="00E116B6" w:rsidR="00415610">
        <w:rPr>
          <w:lang w:val="en-GB"/>
        </w:rPr>
        <w:t>to conspir</w:t>
      </w:r>
      <w:r w:rsidRPr="00E116B6" w:rsidR="00EC0038">
        <w:rPr>
          <w:lang w:val="en-GB"/>
        </w:rPr>
        <w:t xml:space="preserve">ing </w:t>
      </w:r>
      <w:r w:rsidRPr="00E116B6" w:rsidR="00415610">
        <w:rPr>
          <w:lang w:val="en-GB"/>
        </w:rPr>
        <w:t>with the second applicant to murder the</w:t>
      </w:r>
      <w:r w:rsidRPr="00E116B6" w:rsidR="003A6870">
        <w:rPr>
          <w:lang w:val="en-GB"/>
        </w:rPr>
        <w:t xml:space="preserve"> member </w:t>
      </w:r>
      <w:r w:rsidRPr="00E116B6" w:rsidR="00415610">
        <w:rPr>
          <w:lang w:val="en-GB"/>
        </w:rPr>
        <w:t>of parliament.</w:t>
      </w:r>
      <w:r w:rsidRPr="00E116B6" w:rsidR="00737663">
        <w:rPr>
          <w:lang w:val="en-GB"/>
        </w:rPr>
        <w:t xml:space="preserve"> </w:t>
      </w:r>
      <w:r w:rsidRPr="00E116B6" w:rsidR="00732C41">
        <w:rPr>
          <w:lang w:val="en-GB"/>
        </w:rPr>
        <w:t>In particular</w:t>
      </w:r>
      <w:r w:rsidRPr="00E116B6" w:rsidR="00415610">
        <w:rPr>
          <w:lang w:val="en-GB"/>
        </w:rPr>
        <w:t xml:space="preserve">, as noted in the police report </w:t>
      </w:r>
      <w:r w:rsidRPr="00E116B6" w:rsidR="00732C41">
        <w:rPr>
          <w:lang w:val="en-GB"/>
        </w:rPr>
        <w:t xml:space="preserve">of </w:t>
      </w:r>
      <w:r w:rsidRPr="00E116B6" w:rsidR="009E4A8B">
        <w:rPr>
          <w:lang w:val="en-GB"/>
        </w:rPr>
        <w:t>13 </w:t>
      </w:r>
      <w:r w:rsidRPr="00E116B6" w:rsidR="00415610">
        <w:rPr>
          <w:lang w:val="en-GB"/>
        </w:rPr>
        <w:t xml:space="preserve">May 2004, the first applicant stated that </w:t>
      </w:r>
      <w:r w:rsidRPr="00E116B6" w:rsidR="00A72202">
        <w:rPr>
          <w:lang w:val="en-GB"/>
        </w:rPr>
        <w:t>he</w:t>
      </w:r>
      <w:r w:rsidRPr="00E116B6" w:rsidR="00415610">
        <w:rPr>
          <w:lang w:val="en-GB"/>
        </w:rPr>
        <w:t xml:space="preserve"> had been contacted by the second applicant</w:t>
      </w:r>
      <w:r w:rsidRPr="00E116B6" w:rsidR="00A72202">
        <w:rPr>
          <w:lang w:val="en-GB"/>
        </w:rPr>
        <w:t xml:space="preserve"> in </w:t>
      </w:r>
      <w:r w:rsidRPr="00E116B6" w:rsidR="00732C41">
        <w:rPr>
          <w:lang w:val="en-GB"/>
        </w:rPr>
        <w:t xml:space="preserve">the </w:t>
      </w:r>
      <w:r w:rsidRPr="00E116B6" w:rsidR="00A72202">
        <w:rPr>
          <w:lang w:val="en-GB"/>
        </w:rPr>
        <w:t xml:space="preserve">autumn </w:t>
      </w:r>
      <w:r w:rsidRPr="00E116B6" w:rsidR="00732C41">
        <w:rPr>
          <w:lang w:val="en-GB"/>
        </w:rPr>
        <w:t xml:space="preserve">of </w:t>
      </w:r>
      <w:r w:rsidRPr="00E116B6" w:rsidR="00A72202">
        <w:rPr>
          <w:lang w:val="en-GB"/>
        </w:rPr>
        <w:t>2003</w:t>
      </w:r>
      <w:r w:rsidRPr="00E116B6" w:rsidR="00732C41">
        <w:rPr>
          <w:lang w:val="en-GB"/>
        </w:rPr>
        <w:t xml:space="preserve"> and </w:t>
      </w:r>
      <w:r w:rsidRPr="00E116B6" w:rsidR="00415610">
        <w:rPr>
          <w:lang w:val="en-GB"/>
        </w:rPr>
        <w:t>offer</w:t>
      </w:r>
      <w:r w:rsidRPr="00E116B6" w:rsidR="00A72202">
        <w:rPr>
          <w:lang w:val="en-GB"/>
        </w:rPr>
        <w:t>ed</w:t>
      </w:r>
      <w:r w:rsidRPr="00E116B6" w:rsidR="00415610">
        <w:rPr>
          <w:lang w:val="en-GB"/>
        </w:rPr>
        <w:t xml:space="preserve"> 10,000 United States dollars</w:t>
      </w:r>
      <w:r w:rsidRPr="00E116B6" w:rsidR="009E4A8B">
        <w:rPr>
          <w:lang w:val="en-GB"/>
        </w:rPr>
        <w:t> </w:t>
      </w:r>
      <w:r w:rsidRPr="00E116B6" w:rsidR="00415610">
        <w:rPr>
          <w:lang w:val="en-GB"/>
        </w:rPr>
        <w:t xml:space="preserve">(USD) to kill a man whose identity </w:t>
      </w:r>
      <w:r w:rsidRPr="00E116B6" w:rsidR="00732C41">
        <w:rPr>
          <w:lang w:val="en-GB"/>
        </w:rPr>
        <w:t xml:space="preserve">was </w:t>
      </w:r>
      <w:r w:rsidRPr="00E116B6" w:rsidR="00415610">
        <w:rPr>
          <w:lang w:val="en-GB"/>
        </w:rPr>
        <w:t>not specified</w:t>
      </w:r>
      <w:r w:rsidRPr="00E116B6" w:rsidR="00A72202">
        <w:rPr>
          <w:lang w:val="en-GB"/>
        </w:rPr>
        <w:t xml:space="preserve"> at th</w:t>
      </w:r>
      <w:r w:rsidRPr="00E116B6" w:rsidR="00732C41">
        <w:rPr>
          <w:lang w:val="en-GB"/>
        </w:rPr>
        <w:t>e</w:t>
      </w:r>
      <w:r w:rsidRPr="00E116B6" w:rsidR="00A72202">
        <w:rPr>
          <w:lang w:val="en-GB"/>
        </w:rPr>
        <w:t xml:space="preserve"> time. The second applicant had therefore driven him to the building where the victim lived, without explaining the reasons for the murder. He </w:t>
      </w:r>
      <w:r w:rsidRPr="00E116B6" w:rsidR="00732C41">
        <w:rPr>
          <w:lang w:val="en-GB"/>
        </w:rPr>
        <w:t xml:space="preserve">had </w:t>
      </w:r>
      <w:r w:rsidRPr="00E116B6" w:rsidR="00A72202">
        <w:rPr>
          <w:lang w:val="en-GB"/>
        </w:rPr>
        <w:t xml:space="preserve">furnished him with a PSM pistol, which </w:t>
      </w:r>
      <w:r w:rsidRPr="00E116B6" w:rsidR="00732C41">
        <w:rPr>
          <w:lang w:val="en-GB"/>
        </w:rPr>
        <w:t xml:space="preserve">had been </w:t>
      </w:r>
      <w:r w:rsidRPr="00E116B6" w:rsidR="00A72202">
        <w:rPr>
          <w:lang w:val="en-GB"/>
        </w:rPr>
        <w:t xml:space="preserve">loaded and fitted with a silencer. From that date onwards the first applicant </w:t>
      </w:r>
      <w:r w:rsidRPr="00E116B6" w:rsidR="00732C41">
        <w:rPr>
          <w:lang w:val="en-GB"/>
        </w:rPr>
        <w:t xml:space="preserve">had </w:t>
      </w:r>
      <w:r w:rsidRPr="00E116B6" w:rsidR="00A72202">
        <w:rPr>
          <w:lang w:val="en-GB"/>
        </w:rPr>
        <w:t xml:space="preserve">regularly </w:t>
      </w:r>
      <w:r w:rsidRPr="00E116B6" w:rsidR="00732C41">
        <w:rPr>
          <w:lang w:val="en-GB"/>
        </w:rPr>
        <w:t xml:space="preserve">gone </w:t>
      </w:r>
      <w:r w:rsidRPr="00E116B6" w:rsidR="00A72202">
        <w:rPr>
          <w:lang w:val="en-GB"/>
        </w:rPr>
        <w:t>to the building, however</w:t>
      </w:r>
      <w:r w:rsidRPr="00E116B6" w:rsidR="00732C41">
        <w:rPr>
          <w:lang w:val="en-GB"/>
        </w:rPr>
        <w:t>,</w:t>
      </w:r>
      <w:r w:rsidRPr="00E116B6" w:rsidR="00A72202">
        <w:rPr>
          <w:lang w:val="en-GB"/>
        </w:rPr>
        <w:t xml:space="preserve"> </w:t>
      </w:r>
      <w:r w:rsidRPr="00E116B6" w:rsidR="00732C41">
        <w:rPr>
          <w:lang w:val="en-GB"/>
        </w:rPr>
        <w:t xml:space="preserve">he had not tried to </w:t>
      </w:r>
      <w:r w:rsidRPr="00E116B6" w:rsidR="00A72202">
        <w:rPr>
          <w:lang w:val="en-GB"/>
        </w:rPr>
        <w:t>kill the victim</w:t>
      </w:r>
      <w:r w:rsidRPr="00E116B6" w:rsidR="00E30646">
        <w:rPr>
          <w:lang w:val="en-GB"/>
        </w:rPr>
        <w:t xml:space="preserve"> </w:t>
      </w:r>
      <w:r w:rsidRPr="00E116B6" w:rsidR="006555F4">
        <w:rPr>
          <w:lang w:val="en-GB"/>
        </w:rPr>
        <w:t xml:space="preserve">on </w:t>
      </w:r>
      <w:r w:rsidRPr="00E116B6" w:rsidR="00E30646">
        <w:rPr>
          <w:lang w:val="en-GB"/>
        </w:rPr>
        <w:t>those occasions</w:t>
      </w:r>
      <w:r w:rsidRPr="00E116B6" w:rsidR="00A72202">
        <w:rPr>
          <w:lang w:val="en-GB"/>
        </w:rPr>
        <w:t xml:space="preserve">. The second applicant </w:t>
      </w:r>
      <w:r w:rsidRPr="00E116B6" w:rsidR="00732C41">
        <w:rPr>
          <w:lang w:val="en-GB"/>
        </w:rPr>
        <w:t xml:space="preserve">had </w:t>
      </w:r>
      <w:r w:rsidRPr="00E116B6" w:rsidR="00A72202">
        <w:rPr>
          <w:lang w:val="en-GB"/>
        </w:rPr>
        <w:t xml:space="preserve">telephoned him and insisted that he carry out the plan. </w:t>
      </w:r>
      <w:r w:rsidRPr="00E116B6" w:rsidR="00152E07">
        <w:rPr>
          <w:lang w:val="en-GB"/>
        </w:rPr>
        <w:t xml:space="preserve">On 19 </w:t>
      </w:r>
      <w:r w:rsidRPr="00E116B6" w:rsidR="00A72202">
        <w:rPr>
          <w:lang w:val="en-GB"/>
        </w:rPr>
        <w:t xml:space="preserve">January 2004, the first applicant </w:t>
      </w:r>
      <w:r w:rsidRPr="00E116B6" w:rsidR="00732C41">
        <w:rPr>
          <w:lang w:val="en-GB"/>
        </w:rPr>
        <w:t xml:space="preserve">had </w:t>
      </w:r>
      <w:r w:rsidRPr="00E116B6" w:rsidR="00A72202">
        <w:rPr>
          <w:lang w:val="en-GB"/>
        </w:rPr>
        <w:t xml:space="preserve">successfully entered </w:t>
      </w:r>
      <w:r w:rsidRPr="00E116B6" w:rsidR="00732C41">
        <w:rPr>
          <w:lang w:val="en-GB"/>
        </w:rPr>
        <w:t>a</w:t>
      </w:r>
      <w:r w:rsidRPr="00E116B6" w:rsidR="00A72202">
        <w:rPr>
          <w:lang w:val="en-GB"/>
        </w:rPr>
        <w:t xml:space="preserve"> garage at the same time as the victim, </w:t>
      </w:r>
      <w:r w:rsidRPr="00E116B6" w:rsidR="00732C41">
        <w:rPr>
          <w:lang w:val="en-GB"/>
        </w:rPr>
        <w:t xml:space="preserve">had </w:t>
      </w:r>
      <w:r w:rsidRPr="00E116B6" w:rsidR="00A72202">
        <w:rPr>
          <w:lang w:val="en-GB"/>
        </w:rPr>
        <w:t xml:space="preserve">fired shots at </w:t>
      </w:r>
      <w:r w:rsidRPr="00E116B6" w:rsidR="00732C41">
        <w:rPr>
          <w:lang w:val="en-GB"/>
        </w:rPr>
        <w:t xml:space="preserve">him </w:t>
      </w:r>
      <w:r w:rsidRPr="00E116B6" w:rsidR="00A72202">
        <w:rPr>
          <w:lang w:val="en-GB"/>
        </w:rPr>
        <w:t>until he had run out of ammuniti</w:t>
      </w:r>
      <w:r w:rsidRPr="00E116B6" w:rsidR="006555F4">
        <w:rPr>
          <w:lang w:val="en-GB"/>
        </w:rPr>
        <w:t xml:space="preserve">on </w:t>
      </w:r>
      <w:r w:rsidRPr="00E116B6" w:rsidR="00A72202">
        <w:rPr>
          <w:lang w:val="en-GB"/>
        </w:rPr>
        <w:t xml:space="preserve">and then fled. Later that evening, the second applicant </w:t>
      </w:r>
      <w:r w:rsidRPr="00E116B6" w:rsidR="00732C41">
        <w:rPr>
          <w:lang w:val="en-GB"/>
        </w:rPr>
        <w:t xml:space="preserve">had </w:t>
      </w:r>
      <w:r w:rsidRPr="00E116B6" w:rsidR="00A72202">
        <w:rPr>
          <w:lang w:val="en-GB"/>
        </w:rPr>
        <w:t>called him to express his discontent</w:t>
      </w:r>
      <w:r w:rsidRPr="00E116B6" w:rsidR="00732C41">
        <w:rPr>
          <w:lang w:val="en-GB"/>
        </w:rPr>
        <w:t xml:space="preserve"> because </w:t>
      </w:r>
      <w:r w:rsidRPr="00E116B6" w:rsidR="00A72202">
        <w:rPr>
          <w:lang w:val="en-GB"/>
        </w:rPr>
        <w:t xml:space="preserve">the victim, </w:t>
      </w:r>
      <w:r w:rsidRPr="00E116B6" w:rsidR="00732C41">
        <w:rPr>
          <w:lang w:val="en-GB"/>
        </w:rPr>
        <w:t xml:space="preserve">although </w:t>
      </w:r>
      <w:r w:rsidRPr="00E116B6" w:rsidR="00A72202">
        <w:rPr>
          <w:lang w:val="en-GB"/>
        </w:rPr>
        <w:t xml:space="preserve">seriously injured, had survived. A few days later, the first applicant </w:t>
      </w:r>
      <w:r w:rsidRPr="00E116B6" w:rsidR="00732C41">
        <w:rPr>
          <w:lang w:val="en-GB"/>
        </w:rPr>
        <w:t xml:space="preserve">had </w:t>
      </w:r>
      <w:r w:rsidRPr="00E116B6" w:rsidR="00A72202">
        <w:rPr>
          <w:lang w:val="en-GB"/>
        </w:rPr>
        <w:t xml:space="preserve">learnt </w:t>
      </w:r>
      <w:r w:rsidRPr="00E116B6" w:rsidR="00732C41">
        <w:rPr>
          <w:lang w:val="en-GB"/>
        </w:rPr>
        <w:t xml:space="preserve">from </w:t>
      </w:r>
      <w:r w:rsidRPr="00E116B6" w:rsidR="00A72202">
        <w:rPr>
          <w:lang w:val="en-GB"/>
        </w:rPr>
        <w:t>the televisi</w:t>
      </w:r>
      <w:r w:rsidRPr="00E116B6" w:rsidR="006555F4">
        <w:rPr>
          <w:lang w:val="en-GB"/>
        </w:rPr>
        <w:t xml:space="preserve">on </w:t>
      </w:r>
      <w:r w:rsidRPr="00E116B6" w:rsidR="00A72202">
        <w:rPr>
          <w:lang w:val="en-GB"/>
        </w:rPr>
        <w:t>that the man he had tried to kill was a member of parliament.</w:t>
      </w:r>
    </w:p>
    <w:bookmarkStart w:name="confession2" w:id="3"/>
    <w:p w:rsidRPr="00E116B6" w:rsidR="004A4A9B" w:rsidP="00E116B6" w:rsidRDefault="00737663">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11</w:t>
      </w:r>
      <w:r w:rsidRPr="00E116B6">
        <w:rPr>
          <w:lang w:val="en-GB"/>
        </w:rPr>
        <w:fldChar w:fldCharType="end"/>
      </w:r>
      <w:bookmarkEnd w:id="3"/>
      <w:r w:rsidRPr="00E116B6">
        <w:rPr>
          <w:lang w:val="en-GB"/>
        </w:rPr>
        <w:t>.  </w:t>
      </w:r>
      <w:r w:rsidRPr="00E116B6" w:rsidR="004E59F6">
        <w:rPr>
          <w:lang w:val="en-GB"/>
        </w:rPr>
        <w:t>According to t</w:t>
      </w:r>
      <w:r w:rsidRPr="00E116B6" w:rsidR="00A72202">
        <w:rPr>
          <w:lang w:val="en-GB"/>
        </w:rPr>
        <w:t>he re</w:t>
      </w:r>
      <w:r w:rsidRPr="00E116B6">
        <w:rPr>
          <w:lang w:val="en-GB"/>
        </w:rPr>
        <w:t>cord of</w:t>
      </w:r>
      <w:r w:rsidRPr="00E116B6" w:rsidR="00A72202">
        <w:rPr>
          <w:lang w:val="en-GB"/>
        </w:rPr>
        <w:t xml:space="preserve"> the questioning of 13 May 2004</w:t>
      </w:r>
      <w:r w:rsidRPr="00E116B6" w:rsidR="004E59F6">
        <w:rPr>
          <w:lang w:val="en-GB"/>
        </w:rPr>
        <w:t xml:space="preserve">, the first applicant </w:t>
      </w:r>
      <w:r w:rsidRPr="00E116B6" w:rsidR="00A72202">
        <w:rPr>
          <w:lang w:val="en-GB"/>
        </w:rPr>
        <w:t xml:space="preserve">had </w:t>
      </w:r>
      <w:r w:rsidRPr="00E116B6" w:rsidR="009F5F35">
        <w:rPr>
          <w:lang w:val="en-GB"/>
        </w:rPr>
        <w:t xml:space="preserve">been </w:t>
      </w:r>
      <w:r w:rsidRPr="00E116B6" w:rsidR="004E59F6">
        <w:rPr>
          <w:lang w:val="en-GB"/>
        </w:rPr>
        <w:t xml:space="preserve">feeling </w:t>
      </w:r>
      <w:r w:rsidRPr="00E116B6" w:rsidR="009F5F35">
        <w:rPr>
          <w:lang w:val="en-GB"/>
        </w:rPr>
        <w:t>remorse and</w:t>
      </w:r>
      <w:r w:rsidRPr="00E116B6" w:rsidR="00A72202">
        <w:rPr>
          <w:lang w:val="en-GB"/>
        </w:rPr>
        <w:t xml:space="preserve"> </w:t>
      </w:r>
      <w:r w:rsidRPr="00E116B6" w:rsidR="004E59F6">
        <w:rPr>
          <w:lang w:val="en-GB"/>
        </w:rPr>
        <w:t xml:space="preserve">had </w:t>
      </w:r>
      <w:r w:rsidRPr="00E116B6" w:rsidR="00A72202">
        <w:rPr>
          <w:lang w:val="en-GB"/>
        </w:rPr>
        <w:t>wanted to give himself up to the police for some time</w:t>
      </w:r>
      <w:r w:rsidRPr="00E116B6" w:rsidR="004E59F6">
        <w:rPr>
          <w:lang w:val="en-GB"/>
        </w:rPr>
        <w:t>. H</w:t>
      </w:r>
      <w:r w:rsidRPr="00E116B6" w:rsidR="00A72202">
        <w:rPr>
          <w:lang w:val="en-GB"/>
        </w:rPr>
        <w:t xml:space="preserve">e </w:t>
      </w:r>
      <w:r w:rsidRPr="00E116B6" w:rsidR="009F5F35">
        <w:rPr>
          <w:lang w:val="en-GB"/>
        </w:rPr>
        <w:t>told the investigator</w:t>
      </w:r>
      <w:r w:rsidRPr="00E116B6" w:rsidR="00A72202">
        <w:rPr>
          <w:lang w:val="en-GB"/>
        </w:rPr>
        <w:t xml:space="preserve"> that h</w:t>
      </w:r>
      <w:r w:rsidRPr="00E116B6" w:rsidR="004E59F6">
        <w:rPr>
          <w:lang w:val="en-GB"/>
        </w:rPr>
        <w:t>is confessi</w:t>
      </w:r>
      <w:r w:rsidRPr="00E116B6" w:rsidR="006555F4">
        <w:rPr>
          <w:lang w:val="en-GB"/>
        </w:rPr>
        <w:t xml:space="preserve">on </w:t>
      </w:r>
      <w:r w:rsidRPr="00E116B6" w:rsidR="004E59F6">
        <w:rPr>
          <w:lang w:val="en-GB"/>
        </w:rPr>
        <w:t xml:space="preserve">was </w:t>
      </w:r>
      <w:r w:rsidRPr="00E116B6" w:rsidR="0012570A">
        <w:rPr>
          <w:lang w:val="en-GB"/>
        </w:rPr>
        <w:t>sincere</w:t>
      </w:r>
      <w:r w:rsidRPr="00E116B6" w:rsidR="004E59F6">
        <w:rPr>
          <w:lang w:val="en-GB"/>
        </w:rPr>
        <w:t xml:space="preserve">, that he </w:t>
      </w:r>
      <w:r w:rsidRPr="00E116B6">
        <w:rPr>
          <w:lang w:val="en-GB"/>
        </w:rPr>
        <w:t>regretted committ</w:t>
      </w:r>
      <w:r w:rsidRPr="00E116B6" w:rsidR="004E59F6">
        <w:rPr>
          <w:lang w:val="en-GB"/>
        </w:rPr>
        <w:t xml:space="preserve">ing </w:t>
      </w:r>
      <w:r w:rsidRPr="00E116B6">
        <w:rPr>
          <w:lang w:val="en-GB"/>
        </w:rPr>
        <w:t xml:space="preserve">the crime and </w:t>
      </w:r>
      <w:r w:rsidRPr="00E116B6" w:rsidR="00A72202">
        <w:rPr>
          <w:lang w:val="en-GB"/>
        </w:rPr>
        <w:t>was relieved to have been arrested.</w:t>
      </w:r>
      <w:r w:rsidRPr="00E116B6" w:rsidR="004E59F6">
        <w:rPr>
          <w:lang w:val="en-GB"/>
        </w:rPr>
        <w:t xml:space="preserve"> T</w:t>
      </w:r>
      <w:r w:rsidRPr="00E116B6" w:rsidR="004A4A9B">
        <w:rPr>
          <w:lang w:val="en-GB"/>
        </w:rPr>
        <w:t xml:space="preserve">he </w:t>
      </w:r>
      <w:r w:rsidRPr="00E116B6">
        <w:rPr>
          <w:lang w:val="en-GB"/>
        </w:rPr>
        <w:t xml:space="preserve">first </w:t>
      </w:r>
      <w:r w:rsidRPr="00E116B6" w:rsidR="004A4A9B">
        <w:rPr>
          <w:lang w:val="en-GB"/>
        </w:rPr>
        <w:t xml:space="preserve">applicant </w:t>
      </w:r>
      <w:r w:rsidRPr="00E116B6" w:rsidR="004E59F6">
        <w:rPr>
          <w:lang w:val="en-GB"/>
        </w:rPr>
        <w:t xml:space="preserve">had no lawyer </w:t>
      </w:r>
      <w:r w:rsidRPr="00E116B6" w:rsidR="00E30646">
        <w:rPr>
          <w:lang w:val="en-GB"/>
        </w:rPr>
        <w:t xml:space="preserve">present </w:t>
      </w:r>
      <w:r w:rsidRPr="00E116B6" w:rsidR="004E59F6">
        <w:rPr>
          <w:lang w:val="en-GB"/>
        </w:rPr>
        <w:t xml:space="preserve">during the questioning and </w:t>
      </w:r>
      <w:r w:rsidRPr="00E116B6">
        <w:rPr>
          <w:lang w:val="en-GB"/>
        </w:rPr>
        <w:t>did</w:t>
      </w:r>
      <w:r w:rsidRPr="00E116B6" w:rsidR="006F3799">
        <w:rPr>
          <w:lang w:val="en-GB"/>
        </w:rPr>
        <w:t xml:space="preserve"> not sign</w:t>
      </w:r>
      <w:r w:rsidRPr="00E116B6">
        <w:rPr>
          <w:lang w:val="en-GB"/>
        </w:rPr>
        <w:t xml:space="preserve"> the record of </w:t>
      </w:r>
      <w:r w:rsidRPr="00E116B6" w:rsidR="004E59F6">
        <w:rPr>
          <w:lang w:val="en-GB"/>
        </w:rPr>
        <w:t>i</w:t>
      </w:r>
      <w:r w:rsidRPr="00E116B6">
        <w:rPr>
          <w:lang w:val="en-GB"/>
        </w:rPr>
        <w:t>t</w:t>
      </w:r>
      <w:r w:rsidRPr="00E116B6" w:rsidR="006F3799">
        <w:rPr>
          <w:lang w:val="en-GB"/>
        </w:rPr>
        <w:t xml:space="preserve">. As subsequently explained by </w:t>
      </w:r>
      <w:r w:rsidRPr="00E116B6" w:rsidR="00CE7483">
        <w:rPr>
          <w:lang w:val="en-GB"/>
        </w:rPr>
        <w:t>P.</w:t>
      </w:r>
      <w:r w:rsidRPr="00E116B6" w:rsidR="006F3799">
        <w:rPr>
          <w:lang w:val="en-GB"/>
        </w:rPr>
        <w:t>B</w:t>
      </w:r>
      <w:r w:rsidRPr="00E116B6" w:rsidR="00CE7483">
        <w:rPr>
          <w:lang w:val="en-GB"/>
        </w:rPr>
        <w:t>.</w:t>
      </w:r>
      <w:r w:rsidRPr="00E116B6" w:rsidR="006F3799">
        <w:rPr>
          <w:lang w:val="en-GB"/>
        </w:rPr>
        <w:t>,</w:t>
      </w:r>
      <w:r w:rsidRPr="00E116B6" w:rsidR="00FE41AB">
        <w:rPr>
          <w:lang w:val="en-GB"/>
        </w:rPr>
        <w:t xml:space="preserve"> an investigator in charge of the applicant</w:t>
      </w:r>
      <w:r w:rsidRPr="00E116B6" w:rsidR="00E116B6">
        <w:rPr>
          <w:lang w:val="en-GB"/>
        </w:rPr>
        <w:t>’</w:t>
      </w:r>
      <w:r w:rsidRPr="00E116B6" w:rsidR="00FE41AB">
        <w:rPr>
          <w:lang w:val="en-GB"/>
        </w:rPr>
        <w:t xml:space="preserve">s case from the Tbilisi </w:t>
      </w:r>
      <w:r w:rsidRPr="00E116B6" w:rsidR="00AC3EA3">
        <w:rPr>
          <w:lang w:val="en-GB"/>
        </w:rPr>
        <w:t xml:space="preserve">City </w:t>
      </w:r>
      <w:r w:rsidRPr="00E116B6" w:rsidR="00FE41AB">
        <w:rPr>
          <w:lang w:val="en-GB"/>
        </w:rPr>
        <w:t>public prosecutor</w:t>
      </w:r>
      <w:r w:rsidRPr="00E116B6" w:rsidR="00E116B6">
        <w:rPr>
          <w:lang w:val="en-GB"/>
        </w:rPr>
        <w:t>’</w:t>
      </w:r>
      <w:r w:rsidRPr="00E116B6" w:rsidR="00FE41AB">
        <w:rPr>
          <w:lang w:val="en-GB"/>
        </w:rPr>
        <w:t>s office (“the investigator”), the reas</w:t>
      </w:r>
      <w:r w:rsidRPr="00E116B6" w:rsidR="006555F4">
        <w:rPr>
          <w:lang w:val="en-GB"/>
        </w:rPr>
        <w:t xml:space="preserve">on </w:t>
      </w:r>
      <w:r w:rsidRPr="00E116B6" w:rsidR="00FE41AB">
        <w:rPr>
          <w:lang w:val="en-GB"/>
        </w:rPr>
        <w:t xml:space="preserve">the applicant </w:t>
      </w:r>
      <w:r w:rsidRPr="00E116B6" w:rsidR="004E59F6">
        <w:rPr>
          <w:lang w:val="en-GB"/>
        </w:rPr>
        <w:t>di</w:t>
      </w:r>
      <w:r w:rsidRPr="00E116B6" w:rsidR="00FE41AB">
        <w:rPr>
          <w:lang w:val="en-GB"/>
        </w:rPr>
        <w:t>d not sign the record was that he had lost consciousness several times during the interview and had had to be brought round with cold water.</w:t>
      </w:r>
    </w:p>
    <w:bookmarkStart w:name="publiclawyer1" w:id="4"/>
    <w:bookmarkStart w:name="confessionatreconstruction" w:id="5"/>
    <w:p w:rsidRPr="00E116B6" w:rsidR="00AC1180" w:rsidP="00E116B6" w:rsidRDefault="004C4CF3">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12</w:t>
      </w:r>
      <w:r w:rsidRPr="00E116B6">
        <w:rPr>
          <w:lang w:val="en-GB"/>
        </w:rPr>
        <w:fldChar w:fldCharType="end"/>
      </w:r>
      <w:bookmarkEnd w:id="4"/>
      <w:bookmarkEnd w:id="5"/>
      <w:r w:rsidRPr="00E116B6" w:rsidR="004A4A9B">
        <w:rPr>
          <w:lang w:val="en-GB"/>
        </w:rPr>
        <w:t>.  </w:t>
      </w:r>
      <w:r w:rsidRPr="00E116B6" w:rsidR="004E59F6">
        <w:rPr>
          <w:lang w:val="en-GB"/>
        </w:rPr>
        <w:t>At 5.15 p.m</w:t>
      </w:r>
      <w:r w:rsidRPr="00E116B6" w:rsidR="00A8125B">
        <w:rPr>
          <w:lang w:val="en-GB"/>
        </w:rPr>
        <w:t>.</w:t>
      </w:r>
      <w:r w:rsidRPr="00E116B6" w:rsidR="004E59F6">
        <w:rPr>
          <w:lang w:val="en-GB"/>
        </w:rPr>
        <w:t xml:space="preserve"> that </w:t>
      </w:r>
      <w:r w:rsidRPr="00E116B6" w:rsidR="004A4A9B">
        <w:rPr>
          <w:lang w:val="en-GB"/>
        </w:rPr>
        <w:t xml:space="preserve">day, 13 May 2004, </w:t>
      </w:r>
      <w:r w:rsidRPr="00E116B6" w:rsidR="00FE41AB">
        <w:rPr>
          <w:lang w:val="en-GB"/>
        </w:rPr>
        <w:t>the investigator</w:t>
      </w:r>
      <w:r w:rsidRPr="00E116B6" w:rsidR="004A4A9B">
        <w:rPr>
          <w:lang w:val="en-GB"/>
        </w:rPr>
        <w:t xml:space="preserve"> formally charged the</w:t>
      </w:r>
      <w:r w:rsidRPr="00E116B6" w:rsidR="00AC3EA3">
        <w:rPr>
          <w:lang w:val="en-GB"/>
        </w:rPr>
        <w:t xml:space="preserve"> first</w:t>
      </w:r>
      <w:r w:rsidRPr="00E116B6" w:rsidR="004A4A9B">
        <w:rPr>
          <w:lang w:val="en-GB"/>
        </w:rPr>
        <w:t xml:space="preserve"> applicant with attempted murder</w:t>
      </w:r>
      <w:r w:rsidRPr="00E116B6" w:rsidR="0012570A">
        <w:rPr>
          <w:lang w:val="en-GB"/>
        </w:rPr>
        <w:t xml:space="preserve">, based </w:t>
      </w:r>
      <w:r w:rsidRPr="00E116B6" w:rsidR="006555F4">
        <w:rPr>
          <w:lang w:val="en-GB"/>
        </w:rPr>
        <w:t xml:space="preserve">on </w:t>
      </w:r>
      <w:r w:rsidRPr="00E116B6" w:rsidR="004A4A9B">
        <w:rPr>
          <w:lang w:val="en-GB"/>
        </w:rPr>
        <w:t>his confessi</w:t>
      </w:r>
      <w:r w:rsidRPr="00E116B6" w:rsidR="004E59F6">
        <w:rPr>
          <w:lang w:val="en-GB"/>
        </w:rPr>
        <w:t>o</w:t>
      </w:r>
      <w:r w:rsidRPr="00E116B6" w:rsidR="004A4A9B">
        <w:rPr>
          <w:lang w:val="en-GB"/>
        </w:rPr>
        <w:t>n</w:t>
      </w:r>
      <w:r w:rsidRPr="00E116B6" w:rsidR="0012570A">
        <w:rPr>
          <w:lang w:val="en-GB"/>
        </w:rPr>
        <w:t>,</w:t>
      </w:r>
      <w:r w:rsidRPr="00E116B6" w:rsidR="009E7D0D">
        <w:rPr>
          <w:lang w:val="en-GB"/>
        </w:rPr>
        <w:t xml:space="preserve"> and</w:t>
      </w:r>
      <w:r w:rsidRPr="00E116B6" w:rsidR="00152E07">
        <w:rPr>
          <w:lang w:val="en-GB"/>
        </w:rPr>
        <w:t>, without informing the latter of his right to call in a lawyer of his own choice,</w:t>
      </w:r>
      <w:r w:rsidRPr="00E116B6" w:rsidR="009E7D0D">
        <w:rPr>
          <w:lang w:val="en-GB"/>
        </w:rPr>
        <w:t xml:space="preserve"> assigned </w:t>
      </w:r>
      <w:r w:rsidRPr="00E116B6" w:rsidR="004A4A9B">
        <w:rPr>
          <w:lang w:val="en-GB"/>
        </w:rPr>
        <w:t xml:space="preserve">a public </w:t>
      </w:r>
      <w:r w:rsidRPr="00E116B6" w:rsidR="00C0753D">
        <w:rPr>
          <w:lang w:val="en-GB"/>
        </w:rPr>
        <w:t xml:space="preserve">defence </w:t>
      </w:r>
      <w:r w:rsidRPr="00E116B6" w:rsidR="004A4A9B">
        <w:rPr>
          <w:lang w:val="en-GB"/>
        </w:rPr>
        <w:t>lawyer</w:t>
      </w:r>
      <w:r w:rsidRPr="00E116B6" w:rsidR="004E59F6">
        <w:rPr>
          <w:lang w:val="en-GB"/>
        </w:rPr>
        <w:t xml:space="preserve"> </w:t>
      </w:r>
      <w:r w:rsidRPr="00E116B6" w:rsidR="0012570A">
        <w:rPr>
          <w:lang w:val="en-GB"/>
        </w:rPr>
        <w:t xml:space="preserve">to </w:t>
      </w:r>
      <w:r w:rsidRPr="00E116B6" w:rsidR="004E59F6">
        <w:rPr>
          <w:lang w:val="en-GB"/>
        </w:rPr>
        <w:t>him</w:t>
      </w:r>
      <w:r w:rsidRPr="00E116B6" w:rsidR="005D1023">
        <w:rPr>
          <w:lang w:val="en-GB"/>
        </w:rPr>
        <w:t xml:space="preserve">; according to the case materials, that public lawyer was dismissed by the applicant </w:t>
      </w:r>
      <w:r w:rsidRPr="00E116B6" w:rsidR="006555F4">
        <w:rPr>
          <w:lang w:val="en-GB"/>
        </w:rPr>
        <w:t xml:space="preserve">on </w:t>
      </w:r>
      <w:r w:rsidRPr="00E116B6" w:rsidR="005D1023">
        <w:rPr>
          <w:lang w:val="en-GB"/>
        </w:rPr>
        <w:t xml:space="preserve">4 June 2004 (see paragraph 23 below), and, in general, the latter </w:t>
      </w:r>
      <w:r w:rsidRPr="00E116B6" w:rsidR="00782996">
        <w:rPr>
          <w:lang w:val="en-GB"/>
        </w:rPr>
        <w:t>replaced</w:t>
      </w:r>
      <w:r w:rsidRPr="00E116B6" w:rsidR="005D1023">
        <w:rPr>
          <w:lang w:val="en-GB"/>
        </w:rPr>
        <w:t xml:space="preserve"> his defence lawyers several times as the criminal proceedings unfolded.</w:t>
      </w:r>
      <w:r w:rsidRPr="00E116B6" w:rsidR="004A4A9B">
        <w:rPr>
          <w:lang w:val="en-GB"/>
        </w:rPr>
        <w:t xml:space="preserve"> </w:t>
      </w:r>
      <w:r w:rsidRPr="00E116B6" w:rsidR="00AC3EA3">
        <w:rPr>
          <w:lang w:val="en-GB"/>
        </w:rPr>
        <w:t xml:space="preserve">The </w:t>
      </w:r>
      <w:r w:rsidRPr="00E116B6" w:rsidR="005D1023">
        <w:rPr>
          <w:lang w:val="en-GB"/>
        </w:rPr>
        <w:t xml:space="preserve">first </w:t>
      </w:r>
      <w:r w:rsidRPr="00E116B6" w:rsidR="00AC3EA3">
        <w:rPr>
          <w:lang w:val="en-GB"/>
        </w:rPr>
        <w:t>applicant was taken to the scene of the crime for a reconstructi</w:t>
      </w:r>
      <w:r w:rsidRPr="00E116B6" w:rsidR="006555F4">
        <w:rPr>
          <w:lang w:val="en-GB"/>
        </w:rPr>
        <w:t xml:space="preserve">on </w:t>
      </w:r>
      <w:r w:rsidRPr="00E116B6" w:rsidR="00AC3EA3">
        <w:rPr>
          <w:lang w:val="en-GB"/>
        </w:rPr>
        <w:t xml:space="preserve">of the events, and </w:t>
      </w:r>
      <w:r w:rsidRPr="00E116B6" w:rsidR="00C0753D">
        <w:rPr>
          <w:lang w:val="en-GB"/>
        </w:rPr>
        <w:t xml:space="preserve">asked </w:t>
      </w:r>
      <w:r w:rsidRPr="00E116B6" w:rsidR="00AC3EA3">
        <w:rPr>
          <w:lang w:val="en-GB"/>
        </w:rPr>
        <w:t xml:space="preserve">to </w:t>
      </w:r>
      <w:r w:rsidRPr="00E116B6" w:rsidR="00C0753D">
        <w:rPr>
          <w:lang w:val="en-GB"/>
        </w:rPr>
        <w:t xml:space="preserve">repeat </w:t>
      </w:r>
      <w:r w:rsidRPr="00E116B6" w:rsidR="0012570A">
        <w:rPr>
          <w:lang w:val="en-GB"/>
        </w:rPr>
        <w:t xml:space="preserve">his </w:t>
      </w:r>
      <w:r w:rsidRPr="00E116B6" w:rsidR="00AC3EA3">
        <w:rPr>
          <w:lang w:val="en-GB"/>
        </w:rPr>
        <w:t>confessi</w:t>
      </w:r>
      <w:r w:rsidRPr="00E116B6" w:rsidR="006555F4">
        <w:rPr>
          <w:lang w:val="en-GB"/>
        </w:rPr>
        <w:t xml:space="preserve">on </w:t>
      </w:r>
      <w:r w:rsidRPr="00E116B6" w:rsidR="00AC3EA3">
        <w:rPr>
          <w:lang w:val="en-GB"/>
        </w:rPr>
        <w:t xml:space="preserve">there, which he did in the presence of the public </w:t>
      </w:r>
      <w:r w:rsidRPr="00E116B6" w:rsidR="00C0753D">
        <w:rPr>
          <w:lang w:val="en-GB"/>
        </w:rPr>
        <w:t xml:space="preserve">defence </w:t>
      </w:r>
      <w:r w:rsidRPr="00E116B6" w:rsidR="00AC3EA3">
        <w:rPr>
          <w:lang w:val="en-GB"/>
        </w:rPr>
        <w:t>lawyer and two independent witnesses. T</w:t>
      </w:r>
      <w:r w:rsidRPr="00E116B6" w:rsidR="009E7D0D">
        <w:rPr>
          <w:lang w:val="en-GB"/>
        </w:rPr>
        <w:t>he applicant</w:t>
      </w:r>
      <w:r w:rsidRPr="00E116B6" w:rsidR="004A4A9B">
        <w:rPr>
          <w:lang w:val="en-GB"/>
        </w:rPr>
        <w:t xml:space="preserve"> repeated his </w:t>
      </w:r>
      <w:r w:rsidRPr="00E116B6" w:rsidR="00AC3EA3">
        <w:rPr>
          <w:lang w:val="en-GB"/>
        </w:rPr>
        <w:t>confessi</w:t>
      </w:r>
      <w:r w:rsidRPr="00E116B6" w:rsidR="006555F4">
        <w:rPr>
          <w:lang w:val="en-GB"/>
        </w:rPr>
        <w:t xml:space="preserve">on </w:t>
      </w:r>
      <w:r w:rsidRPr="00E116B6" w:rsidR="004A4A9B">
        <w:rPr>
          <w:lang w:val="en-GB"/>
        </w:rPr>
        <w:t>word for word,</w:t>
      </w:r>
      <w:r w:rsidRPr="00E116B6" w:rsidR="00AC3EA3">
        <w:rPr>
          <w:lang w:val="en-GB"/>
        </w:rPr>
        <w:t xml:space="preserve"> </w:t>
      </w:r>
      <w:r w:rsidRPr="00E116B6" w:rsidR="0012570A">
        <w:rPr>
          <w:lang w:val="en-GB"/>
        </w:rPr>
        <w:t xml:space="preserve">again </w:t>
      </w:r>
      <w:r w:rsidRPr="00E116B6" w:rsidR="00AC3EA3">
        <w:rPr>
          <w:lang w:val="en-GB"/>
        </w:rPr>
        <w:t>implicating the second applicant and</w:t>
      </w:r>
      <w:r w:rsidRPr="00E116B6" w:rsidR="004A4A9B">
        <w:rPr>
          <w:lang w:val="en-GB"/>
        </w:rPr>
        <w:t xml:space="preserve"> adding that he hoped that his sincere confessi</w:t>
      </w:r>
      <w:r w:rsidRPr="00E116B6" w:rsidR="006555F4">
        <w:rPr>
          <w:lang w:val="en-GB"/>
        </w:rPr>
        <w:t xml:space="preserve">on </w:t>
      </w:r>
      <w:r w:rsidRPr="00E116B6" w:rsidR="004A4A9B">
        <w:rPr>
          <w:lang w:val="en-GB"/>
        </w:rPr>
        <w:t xml:space="preserve">would be taken into account as </w:t>
      </w:r>
      <w:r w:rsidRPr="00E116B6" w:rsidR="009E7D0D">
        <w:rPr>
          <w:lang w:val="en-GB"/>
        </w:rPr>
        <w:t xml:space="preserve">a </w:t>
      </w:r>
      <w:r w:rsidRPr="00E116B6" w:rsidR="004A4A9B">
        <w:rPr>
          <w:lang w:val="en-GB"/>
        </w:rPr>
        <w:t>mitigating circumstance.</w:t>
      </w:r>
      <w:r w:rsidRPr="00E116B6" w:rsidR="00E463D7">
        <w:rPr>
          <w:lang w:val="en-GB"/>
        </w:rPr>
        <w:t xml:space="preserve"> </w:t>
      </w:r>
      <w:r w:rsidRPr="00E116B6" w:rsidR="00AC3EA3">
        <w:rPr>
          <w:lang w:val="en-GB"/>
        </w:rPr>
        <w:t xml:space="preserve">The </w:t>
      </w:r>
      <w:r w:rsidRPr="00E116B6" w:rsidR="005B0AC0">
        <w:rPr>
          <w:lang w:val="en-GB"/>
        </w:rPr>
        <w:t>statements given during the</w:t>
      </w:r>
      <w:r w:rsidRPr="00E116B6" w:rsidR="00AC3EA3">
        <w:rPr>
          <w:lang w:val="en-GB"/>
        </w:rPr>
        <w:t xml:space="preserve"> reconstructi</w:t>
      </w:r>
      <w:r w:rsidRPr="00E116B6" w:rsidR="006555F4">
        <w:rPr>
          <w:lang w:val="en-GB"/>
        </w:rPr>
        <w:t xml:space="preserve">on </w:t>
      </w:r>
      <w:r w:rsidRPr="00E116B6" w:rsidR="005B0AC0">
        <w:rPr>
          <w:lang w:val="en-GB"/>
        </w:rPr>
        <w:t>were</w:t>
      </w:r>
      <w:r w:rsidRPr="00E116B6" w:rsidR="00AC3EA3">
        <w:rPr>
          <w:lang w:val="en-GB"/>
        </w:rPr>
        <w:t xml:space="preserve"> recorded in writing</w:t>
      </w:r>
      <w:r w:rsidRPr="00E116B6" w:rsidR="00737663">
        <w:rPr>
          <w:lang w:val="en-GB"/>
        </w:rPr>
        <w:t xml:space="preserve">, </w:t>
      </w:r>
      <w:r w:rsidRPr="00E116B6" w:rsidR="00EC0038">
        <w:rPr>
          <w:lang w:val="en-GB"/>
        </w:rPr>
        <w:t xml:space="preserve">with </w:t>
      </w:r>
      <w:r w:rsidRPr="00E116B6" w:rsidR="00737663">
        <w:rPr>
          <w:lang w:val="en-GB"/>
        </w:rPr>
        <w:t>the written record bear</w:t>
      </w:r>
      <w:r w:rsidRPr="00E116B6" w:rsidR="00EC0038">
        <w:rPr>
          <w:lang w:val="en-GB"/>
        </w:rPr>
        <w:t xml:space="preserve">ing </w:t>
      </w:r>
      <w:r w:rsidRPr="00E116B6" w:rsidR="0012570A">
        <w:rPr>
          <w:lang w:val="en-GB"/>
        </w:rPr>
        <w:t xml:space="preserve">the </w:t>
      </w:r>
      <w:r w:rsidRPr="00E116B6" w:rsidR="00737663">
        <w:rPr>
          <w:lang w:val="en-GB"/>
        </w:rPr>
        <w:t xml:space="preserve">signatures of both the first applicant and </w:t>
      </w:r>
      <w:r w:rsidRPr="00E116B6" w:rsidR="00EC0038">
        <w:rPr>
          <w:lang w:val="en-GB"/>
        </w:rPr>
        <w:t xml:space="preserve">the </w:t>
      </w:r>
      <w:r w:rsidRPr="00E116B6" w:rsidR="00737663">
        <w:rPr>
          <w:lang w:val="en-GB"/>
        </w:rPr>
        <w:t>lawyer</w:t>
      </w:r>
      <w:r w:rsidRPr="00E116B6" w:rsidR="00EC0038">
        <w:rPr>
          <w:lang w:val="en-GB"/>
        </w:rPr>
        <w:t xml:space="preserve"> appointed for him</w:t>
      </w:r>
      <w:r w:rsidRPr="00E116B6" w:rsidR="00AC3EA3">
        <w:rPr>
          <w:lang w:val="en-GB"/>
        </w:rPr>
        <w:t>.</w:t>
      </w:r>
    </w:p>
    <w:bookmarkStart w:name="privatetalk" w:id="6"/>
    <w:p w:rsidRPr="00E116B6" w:rsidR="008622E3" w:rsidP="00E116B6" w:rsidRDefault="004C4CF3">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13</w:t>
      </w:r>
      <w:r w:rsidRPr="00E116B6">
        <w:rPr>
          <w:lang w:val="en-GB"/>
        </w:rPr>
        <w:fldChar w:fldCharType="end"/>
      </w:r>
      <w:bookmarkEnd w:id="6"/>
      <w:r w:rsidRPr="00E116B6" w:rsidR="008622E3">
        <w:rPr>
          <w:lang w:val="en-GB"/>
        </w:rPr>
        <w:t>.  </w:t>
      </w:r>
      <w:r w:rsidRPr="00E116B6" w:rsidR="0012570A">
        <w:rPr>
          <w:lang w:val="en-GB"/>
        </w:rPr>
        <w:t xml:space="preserve">Later </w:t>
      </w:r>
      <w:r w:rsidRPr="00E116B6" w:rsidR="00676C2B">
        <w:rPr>
          <w:lang w:val="en-GB"/>
        </w:rPr>
        <w:t>the same day</w:t>
      </w:r>
      <w:r w:rsidRPr="00E116B6" w:rsidR="00F70090">
        <w:rPr>
          <w:lang w:val="en-GB"/>
        </w:rPr>
        <w:t>,</w:t>
      </w:r>
      <w:r w:rsidRPr="00E116B6" w:rsidR="00676C2B">
        <w:rPr>
          <w:lang w:val="en-GB"/>
        </w:rPr>
        <w:t xml:space="preserve"> the first applicant was </w:t>
      </w:r>
      <w:r w:rsidRPr="00E116B6" w:rsidR="00C0753D">
        <w:rPr>
          <w:lang w:val="en-GB"/>
        </w:rPr>
        <w:t xml:space="preserve">brought face-to-face </w:t>
      </w:r>
      <w:r w:rsidRPr="00E116B6" w:rsidR="00676C2B">
        <w:rPr>
          <w:lang w:val="en-GB"/>
        </w:rPr>
        <w:t>with the victim</w:t>
      </w:r>
      <w:r w:rsidRPr="00E116B6" w:rsidR="00C0753D">
        <w:rPr>
          <w:lang w:val="en-GB"/>
        </w:rPr>
        <w:t xml:space="preserve"> in a formal confrontation</w:t>
      </w:r>
      <w:r w:rsidRPr="00E116B6" w:rsidR="00676C2B">
        <w:rPr>
          <w:lang w:val="en-GB"/>
        </w:rPr>
        <w:t>. He was lined up with three other people</w:t>
      </w:r>
      <w:r w:rsidRPr="00E116B6" w:rsidR="005F25D2">
        <w:rPr>
          <w:lang w:val="en-GB"/>
        </w:rPr>
        <w:t xml:space="preserve"> in front of the member of parliament, </w:t>
      </w:r>
      <w:r w:rsidRPr="00E116B6" w:rsidR="00F70090">
        <w:rPr>
          <w:lang w:val="en-GB"/>
        </w:rPr>
        <w:t xml:space="preserve">who, </w:t>
      </w:r>
      <w:r w:rsidRPr="00E116B6" w:rsidR="005F25D2">
        <w:rPr>
          <w:lang w:val="en-GB"/>
        </w:rPr>
        <w:t xml:space="preserve">after </w:t>
      </w:r>
      <w:r w:rsidRPr="00E116B6" w:rsidR="00F70090">
        <w:rPr>
          <w:lang w:val="en-GB"/>
        </w:rPr>
        <w:t xml:space="preserve">some </w:t>
      </w:r>
      <w:r w:rsidRPr="00E116B6" w:rsidR="005F25D2">
        <w:rPr>
          <w:lang w:val="en-GB"/>
        </w:rPr>
        <w:t xml:space="preserve">hesitation, </w:t>
      </w:r>
      <w:r w:rsidRPr="00E116B6" w:rsidR="00F70090">
        <w:rPr>
          <w:lang w:val="en-GB"/>
        </w:rPr>
        <w:t xml:space="preserve">identified him </w:t>
      </w:r>
      <w:r w:rsidRPr="00E116B6" w:rsidR="00F8216D">
        <w:rPr>
          <w:lang w:val="en-GB"/>
        </w:rPr>
        <w:t xml:space="preserve">as </w:t>
      </w:r>
      <w:r w:rsidRPr="00E116B6" w:rsidR="005F25D2">
        <w:rPr>
          <w:lang w:val="en-GB"/>
        </w:rPr>
        <w:t>the attacker. After the identificati</w:t>
      </w:r>
      <w:r w:rsidRPr="00E116B6" w:rsidR="006555F4">
        <w:rPr>
          <w:lang w:val="en-GB"/>
        </w:rPr>
        <w:t xml:space="preserve">on </w:t>
      </w:r>
      <w:r w:rsidRPr="00E116B6" w:rsidR="005F25D2">
        <w:rPr>
          <w:lang w:val="en-GB"/>
        </w:rPr>
        <w:t xml:space="preserve">parade, the member of parliament asked to </w:t>
      </w:r>
      <w:r w:rsidRPr="00E116B6" w:rsidR="00F70090">
        <w:rPr>
          <w:lang w:val="en-GB"/>
        </w:rPr>
        <w:t xml:space="preserve">speak </w:t>
      </w:r>
      <w:r w:rsidRPr="00E116B6" w:rsidR="00737663">
        <w:rPr>
          <w:lang w:val="en-GB"/>
        </w:rPr>
        <w:t>privately</w:t>
      </w:r>
      <w:r w:rsidRPr="00E116B6" w:rsidR="005F25D2">
        <w:rPr>
          <w:lang w:val="en-GB"/>
        </w:rPr>
        <w:t xml:space="preserve"> </w:t>
      </w:r>
      <w:r w:rsidRPr="00E116B6" w:rsidR="00F70090">
        <w:rPr>
          <w:lang w:val="en-GB"/>
        </w:rPr>
        <w:t xml:space="preserve">with </w:t>
      </w:r>
      <w:r w:rsidRPr="00E116B6" w:rsidR="005F25D2">
        <w:rPr>
          <w:lang w:val="en-GB"/>
        </w:rPr>
        <w:t>the first applicant</w:t>
      </w:r>
      <w:r w:rsidRPr="00E116B6" w:rsidR="00F70090">
        <w:rPr>
          <w:lang w:val="en-GB"/>
        </w:rPr>
        <w:t xml:space="preserve"> and was allowed to do so</w:t>
      </w:r>
      <w:r w:rsidRPr="00E116B6" w:rsidR="005F25D2">
        <w:rPr>
          <w:lang w:val="en-GB"/>
        </w:rPr>
        <w:t>.</w:t>
      </w:r>
      <w:r w:rsidRPr="00E116B6" w:rsidR="00737663">
        <w:rPr>
          <w:lang w:val="en-GB"/>
        </w:rPr>
        <w:t xml:space="preserve"> </w:t>
      </w:r>
      <w:r w:rsidRPr="00E116B6" w:rsidR="00F70090">
        <w:rPr>
          <w:lang w:val="en-GB"/>
        </w:rPr>
        <w:t>No one else was present during t</w:t>
      </w:r>
      <w:r w:rsidRPr="00E116B6" w:rsidR="00737663">
        <w:rPr>
          <w:lang w:val="en-GB"/>
        </w:rPr>
        <w:t>heir talk.</w:t>
      </w:r>
    </w:p>
    <w:bookmarkStart w:name="appidentifiespsm" w:id="7"/>
    <w:p w:rsidRPr="00E116B6" w:rsidR="00576B28" w:rsidP="00E116B6" w:rsidRDefault="004C4CF3">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14</w:t>
      </w:r>
      <w:r w:rsidRPr="00E116B6">
        <w:rPr>
          <w:lang w:val="en-GB"/>
        </w:rPr>
        <w:fldChar w:fldCharType="end"/>
      </w:r>
      <w:bookmarkEnd w:id="7"/>
      <w:r w:rsidRPr="00E116B6" w:rsidR="00576B28">
        <w:rPr>
          <w:lang w:val="en-GB"/>
        </w:rPr>
        <w:t xml:space="preserve">.  The investigator then </w:t>
      </w:r>
      <w:r w:rsidRPr="00E116B6" w:rsidR="00F70090">
        <w:rPr>
          <w:lang w:val="en-GB"/>
        </w:rPr>
        <w:t xml:space="preserve">showed </w:t>
      </w:r>
      <w:r w:rsidRPr="00E116B6" w:rsidR="00576B28">
        <w:rPr>
          <w:lang w:val="en-GB"/>
        </w:rPr>
        <w:t xml:space="preserve">the </w:t>
      </w:r>
      <w:r w:rsidRPr="00E116B6" w:rsidR="00E463D7">
        <w:rPr>
          <w:lang w:val="en-GB"/>
        </w:rPr>
        <w:t xml:space="preserve">first </w:t>
      </w:r>
      <w:r w:rsidRPr="00E116B6" w:rsidR="00576B28">
        <w:rPr>
          <w:lang w:val="en-GB"/>
        </w:rPr>
        <w:t xml:space="preserve">applicant the PSM pistol </w:t>
      </w:r>
      <w:r w:rsidRPr="00E116B6" w:rsidR="00F70090">
        <w:rPr>
          <w:lang w:val="en-GB"/>
        </w:rPr>
        <w:t xml:space="preserve">and </w:t>
      </w:r>
      <w:r w:rsidRPr="00E116B6" w:rsidR="00576B28">
        <w:rPr>
          <w:lang w:val="en-GB"/>
        </w:rPr>
        <w:t xml:space="preserve">silencer which had been </w:t>
      </w:r>
      <w:r w:rsidRPr="00E116B6" w:rsidR="00F70090">
        <w:rPr>
          <w:lang w:val="en-GB"/>
        </w:rPr>
        <w:t xml:space="preserve">handed in to </w:t>
      </w:r>
      <w:r w:rsidRPr="00E116B6" w:rsidR="00576B28">
        <w:rPr>
          <w:lang w:val="en-GB"/>
        </w:rPr>
        <w:t xml:space="preserve">the police by the two independent witnesses </w:t>
      </w:r>
      <w:r w:rsidRPr="00E116B6" w:rsidR="006555F4">
        <w:rPr>
          <w:lang w:val="en-GB"/>
        </w:rPr>
        <w:t xml:space="preserve">on </w:t>
      </w:r>
      <w:r w:rsidRPr="00E116B6" w:rsidR="00576B28">
        <w:rPr>
          <w:lang w:val="en-GB"/>
        </w:rPr>
        <w:t xml:space="preserve">25 February 2004 (see paragraph </w:t>
      </w:r>
      <w:r w:rsidRPr="00E116B6" w:rsidR="00F30CE0">
        <w:rPr>
          <w:lang w:val="en-GB"/>
        </w:rPr>
        <w:fldChar w:fldCharType="begin"/>
      </w:r>
      <w:r w:rsidRPr="00E116B6" w:rsidR="00F30CE0">
        <w:rPr>
          <w:lang w:val="en-GB"/>
        </w:rPr>
        <w:instrText xml:space="preserve"> REF psm \h </w:instrText>
      </w:r>
      <w:r w:rsidRPr="00E116B6" w:rsidR="00F30CE0">
        <w:rPr>
          <w:lang w:val="en-GB"/>
        </w:rPr>
      </w:r>
      <w:r w:rsidRPr="00E116B6" w:rsidR="00F30CE0">
        <w:rPr>
          <w:lang w:val="en-GB"/>
        </w:rPr>
        <w:fldChar w:fldCharType="separate"/>
      </w:r>
      <w:r w:rsidRPr="00E116B6" w:rsidR="00E116B6">
        <w:rPr>
          <w:noProof/>
          <w:lang w:val="en-GB"/>
        </w:rPr>
        <w:t>8</w:t>
      </w:r>
      <w:r w:rsidRPr="00E116B6" w:rsidR="00F30CE0">
        <w:rPr>
          <w:lang w:val="en-GB"/>
        </w:rPr>
        <w:fldChar w:fldCharType="end"/>
      </w:r>
      <w:r w:rsidRPr="00E116B6" w:rsidR="00576B28">
        <w:rPr>
          <w:lang w:val="en-GB"/>
        </w:rPr>
        <w:t xml:space="preserve"> above). Th</w:t>
      </w:r>
      <w:r w:rsidRPr="00E116B6" w:rsidR="00B70114">
        <w:rPr>
          <w:lang w:val="en-GB"/>
        </w:rPr>
        <w:t xml:space="preserve">e applicant </w:t>
      </w:r>
      <w:r w:rsidRPr="00E116B6" w:rsidR="00C0753D">
        <w:rPr>
          <w:lang w:val="en-GB"/>
        </w:rPr>
        <w:t xml:space="preserve">stated that he </w:t>
      </w:r>
      <w:r w:rsidRPr="00E116B6" w:rsidR="00737663">
        <w:rPr>
          <w:lang w:val="en-GB"/>
        </w:rPr>
        <w:t>recognised</w:t>
      </w:r>
      <w:r w:rsidRPr="00E116B6" w:rsidR="00576B28">
        <w:rPr>
          <w:lang w:val="en-GB"/>
        </w:rPr>
        <w:t xml:space="preserve"> the gun as the one </w:t>
      </w:r>
      <w:r w:rsidRPr="00E116B6" w:rsidR="00F70090">
        <w:rPr>
          <w:lang w:val="en-GB"/>
        </w:rPr>
        <w:t xml:space="preserve">he had used to </w:t>
      </w:r>
      <w:r w:rsidRPr="00E116B6" w:rsidR="00576B28">
        <w:rPr>
          <w:lang w:val="en-GB"/>
        </w:rPr>
        <w:t>attack</w:t>
      </w:r>
      <w:r w:rsidRPr="00E116B6" w:rsidR="00F70090">
        <w:rPr>
          <w:lang w:val="en-GB"/>
        </w:rPr>
        <w:t xml:space="preserve"> </w:t>
      </w:r>
      <w:r w:rsidRPr="00E116B6" w:rsidR="00576B28">
        <w:rPr>
          <w:lang w:val="en-GB"/>
        </w:rPr>
        <w:t>the victim. The identificati</w:t>
      </w:r>
      <w:r w:rsidRPr="00E116B6" w:rsidR="006555F4">
        <w:rPr>
          <w:lang w:val="en-GB"/>
        </w:rPr>
        <w:t xml:space="preserve">on </w:t>
      </w:r>
      <w:r w:rsidRPr="00E116B6" w:rsidR="00576B28">
        <w:rPr>
          <w:lang w:val="en-GB"/>
        </w:rPr>
        <w:t xml:space="preserve">procedure was recorded in writing and </w:t>
      </w:r>
      <w:r w:rsidRPr="00E116B6" w:rsidR="00F70090">
        <w:rPr>
          <w:lang w:val="en-GB"/>
        </w:rPr>
        <w:t xml:space="preserve">was </w:t>
      </w:r>
      <w:r w:rsidRPr="00E116B6" w:rsidR="00576B28">
        <w:rPr>
          <w:lang w:val="en-GB"/>
        </w:rPr>
        <w:t>signed by the</w:t>
      </w:r>
      <w:r w:rsidRPr="00E116B6" w:rsidR="00E463D7">
        <w:rPr>
          <w:lang w:val="en-GB"/>
        </w:rPr>
        <w:t xml:space="preserve"> first</w:t>
      </w:r>
      <w:r w:rsidRPr="00E116B6" w:rsidR="00576B28">
        <w:rPr>
          <w:lang w:val="en-GB"/>
        </w:rPr>
        <w:t xml:space="preserve"> applicant</w:t>
      </w:r>
      <w:r w:rsidRPr="00E116B6" w:rsidR="00E116B6">
        <w:rPr>
          <w:lang w:val="en-GB"/>
        </w:rPr>
        <w:t>’</w:t>
      </w:r>
      <w:r w:rsidRPr="00E116B6" w:rsidR="00576B28">
        <w:rPr>
          <w:lang w:val="en-GB"/>
        </w:rPr>
        <w:t xml:space="preserve">s public </w:t>
      </w:r>
      <w:r w:rsidRPr="00E116B6" w:rsidR="00C0753D">
        <w:rPr>
          <w:lang w:val="en-GB"/>
        </w:rPr>
        <w:t xml:space="preserve">defence </w:t>
      </w:r>
      <w:r w:rsidRPr="00E116B6" w:rsidR="00576B28">
        <w:rPr>
          <w:lang w:val="en-GB"/>
        </w:rPr>
        <w:t>lawyer.</w:t>
      </w:r>
    </w:p>
    <w:bookmarkStart w:name="motive" w:id="8"/>
    <w:p w:rsidRPr="00E116B6" w:rsidR="00AC1180" w:rsidP="00E116B6" w:rsidRDefault="004C4CF3">
      <w:pPr>
        <w:pStyle w:val="ECHRPara"/>
        <w:rPr>
          <w:szCs w:val="24"/>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15</w:t>
      </w:r>
      <w:r w:rsidRPr="00E116B6">
        <w:rPr>
          <w:lang w:val="en-GB"/>
        </w:rPr>
        <w:fldChar w:fldCharType="end"/>
      </w:r>
      <w:bookmarkEnd w:id="8"/>
      <w:r w:rsidRPr="00E116B6" w:rsidR="003A6870">
        <w:rPr>
          <w:lang w:val="en-GB"/>
        </w:rPr>
        <w:t>.  </w:t>
      </w:r>
      <w:r w:rsidRPr="00E116B6" w:rsidR="009C49FA">
        <w:rPr>
          <w:lang w:val="en-GB"/>
        </w:rPr>
        <w:t>On 13 May 2004 the second applicant was also arrested and charged with attempted murder. A public defence lawyer was assigned to him. The charges stated that he had wanted to kill the member of parliament, who was a distant relative. As the founder of a bank which had employed the second applicant</w:t>
      </w:r>
      <w:r w:rsidRPr="00E116B6" w:rsidR="00E116B6">
        <w:rPr>
          <w:lang w:val="en-GB"/>
        </w:rPr>
        <w:t>’</w:t>
      </w:r>
      <w:r w:rsidRPr="00E116B6" w:rsidR="009C49FA">
        <w:rPr>
          <w:lang w:val="en-GB"/>
        </w:rPr>
        <w:t>s brother, the member of parliament had demanded that the applicant and his brother repay USD 700,000, which had been found missing by an internal audit</w:t>
      </w:r>
      <w:r w:rsidRPr="00E116B6" w:rsidDel="009C49FA" w:rsidR="009C49FA">
        <w:rPr>
          <w:lang w:val="en-GB"/>
        </w:rPr>
        <w:t xml:space="preserve"> </w:t>
      </w:r>
      <w:r w:rsidRPr="00E116B6" w:rsidR="00601D33">
        <w:rPr>
          <w:szCs w:val="24"/>
          <w:lang w:val="en-GB"/>
        </w:rPr>
        <w:t xml:space="preserve">(see also paragraph </w:t>
      </w:r>
      <w:r w:rsidRPr="00E116B6" w:rsidR="00601D33">
        <w:rPr>
          <w:szCs w:val="24"/>
          <w:lang w:val="en-GB"/>
        </w:rPr>
        <w:fldChar w:fldCharType="begin"/>
      </w:r>
      <w:r w:rsidRPr="00E116B6" w:rsidR="00601D33">
        <w:rPr>
          <w:szCs w:val="24"/>
          <w:lang w:val="en-GB"/>
        </w:rPr>
        <w:instrText xml:space="preserve"> REF motive1 \h </w:instrText>
      </w:r>
      <w:r w:rsidRPr="00E116B6" w:rsidR="00601D33">
        <w:rPr>
          <w:szCs w:val="24"/>
          <w:lang w:val="en-GB"/>
        </w:rPr>
      </w:r>
      <w:r w:rsidRPr="00E116B6" w:rsidR="00601D33">
        <w:rPr>
          <w:szCs w:val="24"/>
          <w:lang w:val="en-GB"/>
        </w:rPr>
        <w:fldChar w:fldCharType="separate"/>
      </w:r>
      <w:r w:rsidRPr="00E116B6" w:rsidR="00E116B6">
        <w:rPr>
          <w:noProof/>
          <w:lang w:val="en-GB"/>
        </w:rPr>
        <w:t>62</w:t>
      </w:r>
      <w:r w:rsidRPr="00E116B6" w:rsidR="00601D33">
        <w:rPr>
          <w:szCs w:val="24"/>
          <w:lang w:val="en-GB"/>
        </w:rPr>
        <w:fldChar w:fldCharType="end"/>
      </w:r>
      <w:r w:rsidRPr="00E116B6" w:rsidR="00601D33">
        <w:rPr>
          <w:szCs w:val="24"/>
          <w:lang w:val="en-GB"/>
        </w:rPr>
        <w:t xml:space="preserve"> below)</w:t>
      </w:r>
      <w:r w:rsidRPr="00E116B6" w:rsidR="00ED3A48">
        <w:rPr>
          <w:szCs w:val="24"/>
          <w:lang w:val="en-GB"/>
        </w:rPr>
        <w:t>.</w:t>
      </w:r>
    </w:p>
    <w:p w:rsidRPr="00E116B6" w:rsidR="008E0019" w:rsidP="00E116B6" w:rsidRDefault="004C4CF3">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16</w:t>
      </w:r>
      <w:r w:rsidRPr="00E116B6">
        <w:rPr>
          <w:lang w:val="en-GB"/>
        </w:rPr>
        <w:fldChar w:fldCharType="end"/>
      </w:r>
      <w:r w:rsidRPr="00E116B6" w:rsidR="008E0019">
        <w:rPr>
          <w:lang w:val="en-GB"/>
        </w:rPr>
        <w:t xml:space="preserve">.  On 14 May 2004, </w:t>
      </w:r>
      <w:r w:rsidRPr="00E116B6" w:rsidR="00F70090">
        <w:rPr>
          <w:lang w:val="en-GB"/>
        </w:rPr>
        <w:t xml:space="preserve">the first applicant </w:t>
      </w:r>
      <w:r w:rsidRPr="00E116B6" w:rsidR="00C0753D">
        <w:rPr>
          <w:lang w:val="en-GB"/>
        </w:rPr>
        <w:t xml:space="preserve">met </w:t>
      </w:r>
      <w:r w:rsidRPr="00E116B6" w:rsidR="008E0019">
        <w:rPr>
          <w:lang w:val="en-GB"/>
        </w:rPr>
        <w:t>the second applicant</w:t>
      </w:r>
      <w:r w:rsidRPr="00E116B6" w:rsidR="00F70090">
        <w:rPr>
          <w:lang w:val="en-GB"/>
        </w:rPr>
        <w:t xml:space="preserve"> </w:t>
      </w:r>
      <w:r w:rsidRPr="00E116B6" w:rsidR="00C0753D">
        <w:rPr>
          <w:lang w:val="en-GB"/>
        </w:rPr>
        <w:t>in a formal confrontati</w:t>
      </w:r>
      <w:r w:rsidRPr="00E116B6" w:rsidR="006555F4">
        <w:rPr>
          <w:lang w:val="en-GB"/>
        </w:rPr>
        <w:t xml:space="preserve">on </w:t>
      </w:r>
      <w:r w:rsidRPr="00E116B6" w:rsidR="00F70090">
        <w:rPr>
          <w:lang w:val="en-GB"/>
        </w:rPr>
        <w:t xml:space="preserve">and </w:t>
      </w:r>
      <w:r w:rsidRPr="00E116B6" w:rsidR="008E0019">
        <w:rPr>
          <w:lang w:val="en-GB"/>
        </w:rPr>
        <w:t xml:space="preserve">accused him in accordance with his </w:t>
      </w:r>
      <w:r w:rsidRPr="00E116B6" w:rsidR="00E463D7">
        <w:rPr>
          <w:lang w:val="en-GB"/>
        </w:rPr>
        <w:t xml:space="preserve">previous </w:t>
      </w:r>
      <w:r w:rsidRPr="00E116B6" w:rsidR="008E0019">
        <w:rPr>
          <w:lang w:val="en-GB"/>
        </w:rPr>
        <w:t>confession.</w:t>
      </w:r>
      <w:r w:rsidRPr="00E116B6" w:rsidR="009C67FA">
        <w:rPr>
          <w:lang w:val="en-GB"/>
        </w:rPr>
        <w:t xml:space="preserve"> Accor</w:t>
      </w:r>
      <w:r w:rsidRPr="00E116B6" w:rsidR="00E463D7">
        <w:rPr>
          <w:lang w:val="en-GB"/>
        </w:rPr>
        <w:t>d</w:t>
      </w:r>
      <w:r w:rsidRPr="00E116B6" w:rsidR="009C67FA">
        <w:rPr>
          <w:lang w:val="en-GB"/>
        </w:rPr>
        <w:t xml:space="preserve">ing to a written report </w:t>
      </w:r>
      <w:r w:rsidRPr="00E116B6" w:rsidR="006555F4">
        <w:rPr>
          <w:lang w:val="en-GB"/>
        </w:rPr>
        <w:t xml:space="preserve">on </w:t>
      </w:r>
      <w:r w:rsidRPr="00E116B6" w:rsidR="009C67FA">
        <w:rPr>
          <w:lang w:val="en-GB"/>
        </w:rPr>
        <w:t xml:space="preserve">the </w:t>
      </w:r>
      <w:r w:rsidRPr="00E116B6" w:rsidR="00C0753D">
        <w:rPr>
          <w:lang w:val="en-GB"/>
        </w:rPr>
        <w:t xml:space="preserve">formal </w:t>
      </w:r>
      <w:r w:rsidRPr="00E116B6" w:rsidR="009C67FA">
        <w:rPr>
          <w:lang w:val="en-GB"/>
        </w:rPr>
        <w:t xml:space="preserve">confrontation, the second applicant was assisted by the public </w:t>
      </w:r>
      <w:r w:rsidRPr="00E116B6" w:rsidR="00C0753D">
        <w:rPr>
          <w:lang w:val="en-GB"/>
        </w:rPr>
        <w:t xml:space="preserve">defence </w:t>
      </w:r>
      <w:r w:rsidRPr="00E116B6" w:rsidR="009C67FA">
        <w:rPr>
          <w:lang w:val="en-GB"/>
        </w:rPr>
        <w:t>lawyer.</w:t>
      </w:r>
    </w:p>
    <w:p w:rsidRPr="00E116B6" w:rsidR="003A6870" w:rsidP="00E116B6" w:rsidRDefault="004C4CF3">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17</w:t>
      </w:r>
      <w:r w:rsidRPr="00E116B6">
        <w:rPr>
          <w:lang w:val="en-GB"/>
        </w:rPr>
        <w:fldChar w:fldCharType="end"/>
      </w:r>
      <w:r w:rsidRPr="00E116B6" w:rsidR="008E0019">
        <w:rPr>
          <w:lang w:val="en-GB"/>
        </w:rPr>
        <w:t>.  </w:t>
      </w:r>
      <w:r w:rsidRPr="00E116B6" w:rsidR="003A6870">
        <w:rPr>
          <w:lang w:val="en-GB"/>
        </w:rPr>
        <w:t xml:space="preserve">On 15 May 2004 the first applicant was charged in </w:t>
      </w:r>
      <w:r w:rsidRPr="00E116B6" w:rsidR="00EC0038">
        <w:rPr>
          <w:lang w:val="en-GB"/>
        </w:rPr>
        <w:t>connecti</w:t>
      </w:r>
      <w:r w:rsidRPr="00E116B6" w:rsidR="006555F4">
        <w:rPr>
          <w:lang w:val="en-GB"/>
        </w:rPr>
        <w:t xml:space="preserve">on </w:t>
      </w:r>
      <w:r w:rsidRPr="00E116B6" w:rsidR="00EC0038">
        <w:rPr>
          <w:lang w:val="en-GB"/>
        </w:rPr>
        <w:t xml:space="preserve">with </w:t>
      </w:r>
      <w:r w:rsidRPr="00E116B6" w:rsidR="003A6870">
        <w:rPr>
          <w:lang w:val="en-GB"/>
        </w:rPr>
        <w:t xml:space="preserve">the discovery of </w:t>
      </w:r>
      <w:r w:rsidRPr="00E116B6" w:rsidR="000B64D0">
        <w:rPr>
          <w:lang w:val="en-GB"/>
        </w:rPr>
        <w:t xml:space="preserve">the </w:t>
      </w:r>
      <w:r w:rsidRPr="00E116B6" w:rsidR="003A6870">
        <w:rPr>
          <w:lang w:val="en-GB"/>
        </w:rPr>
        <w:t>Brown</w:t>
      </w:r>
      <w:r w:rsidRPr="00E116B6" w:rsidR="008E0019">
        <w:rPr>
          <w:lang w:val="en-GB"/>
        </w:rPr>
        <w:t>in</w:t>
      </w:r>
      <w:r w:rsidRPr="00E116B6" w:rsidR="003A6870">
        <w:rPr>
          <w:lang w:val="en-GB"/>
        </w:rPr>
        <w:t xml:space="preserve">g pistol </w:t>
      </w:r>
      <w:r w:rsidRPr="00E116B6" w:rsidR="006555F4">
        <w:rPr>
          <w:lang w:val="en-GB"/>
        </w:rPr>
        <w:t xml:space="preserve">on </w:t>
      </w:r>
      <w:r w:rsidRPr="00E116B6" w:rsidR="003A6870">
        <w:rPr>
          <w:lang w:val="en-GB"/>
        </w:rPr>
        <w:t>his pers</w:t>
      </w:r>
      <w:r w:rsidRPr="00E116B6" w:rsidR="006555F4">
        <w:rPr>
          <w:lang w:val="en-GB"/>
        </w:rPr>
        <w:t xml:space="preserve">on </w:t>
      </w:r>
      <w:r w:rsidRPr="00E116B6" w:rsidR="000B64D0">
        <w:rPr>
          <w:lang w:val="en-GB"/>
        </w:rPr>
        <w:t xml:space="preserve">when he was </w:t>
      </w:r>
      <w:r w:rsidRPr="00E116B6" w:rsidR="00E463D7">
        <w:rPr>
          <w:lang w:val="en-GB"/>
        </w:rPr>
        <w:t>arrest</w:t>
      </w:r>
      <w:r w:rsidRPr="00E116B6" w:rsidR="000B64D0">
        <w:rPr>
          <w:lang w:val="en-GB"/>
        </w:rPr>
        <w:t>ed</w:t>
      </w:r>
      <w:r w:rsidRPr="00E116B6" w:rsidR="003A6870">
        <w:rPr>
          <w:lang w:val="en-GB"/>
        </w:rPr>
        <w:t xml:space="preserve"> with an additional offence of </w:t>
      </w:r>
      <w:r w:rsidRPr="00E116B6" w:rsidR="00F70090">
        <w:rPr>
          <w:lang w:val="en-GB"/>
        </w:rPr>
        <w:t>illegal</w:t>
      </w:r>
      <w:r w:rsidRPr="00E116B6" w:rsidR="00C0753D">
        <w:rPr>
          <w:lang w:val="en-GB"/>
        </w:rPr>
        <w:t>ly</w:t>
      </w:r>
      <w:r w:rsidRPr="00E116B6" w:rsidR="00F70090">
        <w:rPr>
          <w:lang w:val="en-GB"/>
        </w:rPr>
        <w:t xml:space="preserve"> carrying a weapon</w:t>
      </w:r>
      <w:r w:rsidRPr="00E116B6" w:rsidR="003A6870">
        <w:rPr>
          <w:lang w:val="en-GB"/>
        </w:rPr>
        <w:t>.</w:t>
      </w:r>
    </w:p>
    <w:p w:rsidRPr="00E116B6" w:rsidR="00AC1180" w:rsidP="00E116B6" w:rsidRDefault="004C4CF3">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18</w:t>
      </w:r>
      <w:r w:rsidRPr="00E116B6">
        <w:rPr>
          <w:lang w:val="en-GB"/>
        </w:rPr>
        <w:fldChar w:fldCharType="end"/>
      </w:r>
      <w:r w:rsidRPr="00E116B6" w:rsidR="008E0019">
        <w:rPr>
          <w:lang w:val="en-GB"/>
        </w:rPr>
        <w:t xml:space="preserve">.  On 16 May 2004 the Vake-Saburtalo </w:t>
      </w:r>
      <w:r w:rsidRPr="00E116B6" w:rsidR="00E463D7">
        <w:rPr>
          <w:lang w:val="en-GB"/>
        </w:rPr>
        <w:t xml:space="preserve">District </w:t>
      </w:r>
      <w:r w:rsidRPr="00E116B6" w:rsidR="008E0019">
        <w:rPr>
          <w:lang w:val="en-GB"/>
        </w:rPr>
        <w:t>Court ordered</w:t>
      </w:r>
      <w:r w:rsidRPr="00E116B6" w:rsidR="00545170">
        <w:rPr>
          <w:lang w:val="en-GB"/>
        </w:rPr>
        <w:t xml:space="preserve"> at a public hearing</w:t>
      </w:r>
      <w:r w:rsidRPr="00E116B6" w:rsidR="008E0019">
        <w:rPr>
          <w:lang w:val="en-GB"/>
        </w:rPr>
        <w:t xml:space="preserve"> that the</w:t>
      </w:r>
      <w:r w:rsidRPr="00E116B6" w:rsidR="00E463D7">
        <w:rPr>
          <w:lang w:val="en-GB"/>
        </w:rPr>
        <w:t xml:space="preserve"> two</w:t>
      </w:r>
      <w:r w:rsidRPr="00E116B6" w:rsidR="008E0019">
        <w:rPr>
          <w:lang w:val="en-GB"/>
        </w:rPr>
        <w:t xml:space="preserve"> applicants be held in pre-trial detenti</w:t>
      </w:r>
      <w:r w:rsidRPr="00E116B6" w:rsidR="006555F4">
        <w:rPr>
          <w:lang w:val="en-GB"/>
        </w:rPr>
        <w:t xml:space="preserve">on </w:t>
      </w:r>
      <w:r w:rsidRPr="00E116B6" w:rsidR="008E0019">
        <w:rPr>
          <w:lang w:val="en-GB"/>
        </w:rPr>
        <w:t>for three months</w:t>
      </w:r>
      <w:r w:rsidRPr="00E116B6" w:rsidR="002E13B5">
        <w:rPr>
          <w:lang w:val="en-GB"/>
        </w:rPr>
        <w:t>, until 13 August 2004</w:t>
      </w:r>
      <w:r w:rsidRPr="00E116B6" w:rsidR="008E0019">
        <w:rPr>
          <w:lang w:val="en-GB"/>
        </w:rPr>
        <w:t xml:space="preserve">. </w:t>
      </w:r>
      <w:r w:rsidRPr="00E116B6" w:rsidR="00F70090">
        <w:rPr>
          <w:lang w:val="en-GB"/>
        </w:rPr>
        <w:t xml:space="preserve">After </w:t>
      </w:r>
      <w:r w:rsidRPr="00E116B6" w:rsidR="00696734">
        <w:rPr>
          <w:lang w:val="en-GB"/>
        </w:rPr>
        <w:t>review</w:t>
      </w:r>
      <w:r w:rsidRPr="00E116B6" w:rsidR="00F70090">
        <w:rPr>
          <w:lang w:val="en-GB"/>
        </w:rPr>
        <w:t xml:space="preserve">ing </w:t>
      </w:r>
      <w:r w:rsidRPr="00E116B6" w:rsidR="00696734">
        <w:rPr>
          <w:lang w:val="en-GB"/>
        </w:rPr>
        <w:t>the criminal case material and hear</w:t>
      </w:r>
      <w:r w:rsidRPr="00E116B6" w:rsidR="00F70090">
        <w:rPr>
          <w:lang w:val="en-GB"/>
        </w:rPr>
        <w:t xml:space="preserve">ing </w:t>
      </w:r>
      <w:r w:rsidRPr="00E116B6" w:rsidR="00696734">
        <w:rPr>
          <w:lang w:val="en-GB"/>
        </w:rPr>
        <w:t>the parties</w:t>
      </w:r>
      <w:r w:rsidRPr="00E116B6" w:rsidR="00E116B6">
        <w:rPr>
          <w:lang w:val="en-GB"/>
        </w:rPr>
        <w:t>’</w:t>
      </w:r>
      <w:r w:rsidRPr="00E116B6" w:rsidR="00696734">
        <w:rPr>
          <w:lang w:val="en-GB"/>
        </w:rPr>
        <w:t xml:space="preserve"> oral </w:t>
      </w:r>
      <w:r w:rsidRPr="00E116B6" w:rsidR="00F70090">
        <w:rPr>
          <w:lang w:val="en-GB"/>
        </w:rPr>
        <w:t>submissions</w:t>
      </w:r>
      <w:r w:rsidRPr="00E116B6" w:rsidR="00696734">
        <w:rPr>
          <w:lang w:val="en-GB"/>
        </w:rPr>
        <w:t>, the court confirmed the existence of a reasonable suspici</w:t>
      </w:r>
      <w:r w:rsidRPr="00E116B6" w:rsidR="006555F4">
        <w:rPr>
          <w:lang w:val="en-GB"/>
        </w:rPr>
        <w:t xml:space="preserve">on </w:t>
      </w:r>
      <w:r w:rsidRPr="00E116B6" w:rsidR="00696734">
        <w:rPr>
          <w:lang w:val="en-GB"/>
        </w:rPr>
        <w:t xml:space="preserve">that the offences </w:t>
      </w:r>
      <w:r w:rsidRPr="00E116B6" w:rsidR="00F70090">
        <w:rPr>
          <w:lang w:val="en-GB"/>
        </w:rPr>
        <w:t>in questi</w:t>
      </w:r>
      <w:r w:rsidRPr="00E116B6" w:rsidR="006555F4">
        <w:rPr>
          <w:lang w:val="en-GB"/>
        </w:rPr>
        <w:t xml:space="preserve">on </w:t>
      </w:r>
      <w:r w:rsidRPr="00E116B6" w:rsidR="00696734">
        <w:rPr>
          <w:lang w:val="en-GB"/>
        </w:rPr>
        <w:t xml:space="preserve">had been committed. </w:t>
      </w:r>
      <w:r w:rsidRPr="00E116B6" w:rsidR="00F70090">
        <w:rPr>
          <w:lang w:val="en-GB"/>
        </w:rPr>
        <w:t>A further main justificati</w:t>
      </w:r>
      <w:r w:rsidRPr="00E116B6" w:rsidR="006555F4">
        <w:rPr>
          <w:lang w:val="en-GB"/>
        </w:rPr>
        <w:t xml:space="preserve">on </w:t>
      </w:r>
      <w:r w:rsidRPr="00E116B6" w:rsidR="00F70090">
        <w:rPr>
          <w:lang w:val="en-GB"/>
        </w:rPr>
        <w:t xml:space="preserve">for the </w:t>
      </w:r>
      <w:r w:rsidRPr="00E116B6" w:rsidR="00696734">
        <w:rPr>
          <w:lang w:val="en-GB"/>
        </w:rPr>
        <w:t>impositi</w:t>
      </w:r>
      <w:r w:rsidRPr="00E116B6" w:rsidR="006555F4">
        <w:rPr>
          <w:lang w:val="en-GB"/>
        </w:rPr>
        <w:t xml:space="preserve">on </w:t>
      </w:r>
      <w:r w:rsidRPr="00E116B6" w:rsidR="00696734">
        <w:rPr>
          <w:lang w:val="en-GB"/>
        </w:rPr>
        <w:t>of pre-trial detenti</w:t>
      </w:r>
      <w:r w:rsidRPr="00E116B6" w:rsidR="006555F4">
        <w:rPr>
          <w:lang w:val="en-GB"/>
        </w:rPr>
        <w:t xml:space="preserve">on </w:t>
      </w:r>
      <w:r w:rsidRPr="00E116B6" w:rsidR="00696734">
        <w:rPr>
          <w:lang w:val="en-GB"/>
        </w:rPr>
        <w:t>was</w:t>
      </w:r>
      <w:r w:rsidRPr="00E116B6" w:rsidR="00737663">
        <w:rPr>
          <w:lang w:val="en-GB"/>
        </w:rPr>
        <w:t xml:space="preserve"> </w:t>
      </w:r>
      <w:r w:rsidRPr="00E116B6" w:rsidR="00696734">
        <w:rPr>
          <w:lang w:val="en-GB"/>
        </w:rPr>
        <w:t>the assumpti</w:t>
      </w:r>
      <w:r w:rsidRPr="00E116B6" w:rsidR="006555F4">
        <w:rPr>
          <w:lang w:val="en-GB"/>
        </w:rPr>
        <w:t xml:space="preserve">on </w:t>
      </w:r>
      <w:r w:rsidRPr="00E116B6" w:rsidR="00696734">
        <w:rPr>
          <w:lang w:val="en-GB"/>
        </w:rPr>
        <w:t>that the accused</w:t>
      </w:r>
      <w:r w:rsidRPr="00E116B6" w:rsidR="00E463D7">
        <w:rPr>
          <w:lang w:val="en-GB"/>
        </w:rPr>
        <w:t xml:space="preserve"> </w:t>
      </w:r>
      <w:r w:rsidRPr="00E116B6" w:rsidR="00F70090">
        <w:rPr>
          <w:lang w:val="en-GB"/>
        </w:rPr>
        <w:t xml:space="preserve">might </w:t>
      </w:r>
      <w:r w:rsidRPr="00E116B6" w:rsidR="00696734">
        <w:rPr>
          <w:lang w:val="en-GB"/>
        </w:rPr>
        <w:t>abscond</w:t>
      </w:r>
      <w:r w:rsidRPr="00E116B6" w:rsidR="00F70090">
        <w:rPr>
          <w:lang w:val="en-GB"/>
        </w:rPr>
        <w:t>,</w:t>
      </w:r>
      <w:r w:rsidRPr="00E116B6" w:rsidR="00696734">
        <w:rPr>
          <w:lang w:val="en-GB"/>
        </w:rPr>
        <w:t xml:space="preserve"> in view of the severity of </w:t>
      </w:r>
      <w:r w:rsidRPr="00E116B6" w:rsidR="00F70090">
        <w:rPr>
          <w:lang w:val="en-GB"/>
        </w:rPr>
        <w:t xml:space="preserve">the </w:t>
      </w:r>
      <w:r w:rsidRPr="00E116B6" w:rsidR="00696734">
        <w:rPr>
          <w:lang w:val="en-GB"/>
        </w:rPr>
        <w:t>possible sentence.</w:t>
      </w:r>
    </w:p>
    <w:p w:rsidRPr="00E116B6" w:rsidR="00AC1180" w:rsidP="00E116B6" w:rsidRDefault="004C4CF3">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19</w:t>
      </w:r>
      <w:r w:rsidRPr="00E116B6">
        <w:rPr>
          <w:lang w:val="en-GB"/>
        </w:rPr>
        <w:fldChar w:fldCharType="end"/>
      </w:r>
      <w:r w:rsidRPr="00E116B6" w:rsidR="005B0AC0">
        <w:rPr>
          <w:lang w:val="en-GB"/>
        </w:rPr>
        <w:t xml:space="preserve">.  According to statements subsequently given to </w:t>
      </w:r>
      <w:r w:rsidRPr="00E116B6" w:rsidR="00F70090">
        <w:rPr>
          <w:lang w:val="en-GB"/>
        </w:rPr>
        <w:t xml:space="preserve">the </w:t>
      </w:r>
      <w:r w:rsidRPr="00E116B6" w:rsidR="005B0AC0">
        <w:rPr>
          <w:lang w:val="en-GB"/>
        </w:rPr>
        <w:t>investigative authorities by the first applicant</w:t>
      </w:r>
      <w:r w:rsidRPr="00E116B6" w:rsidR="00E116B6">
        <w:rPr>
          <w:lang w:val="en-GB"/>
        </w:rPr>
        <w:t>’</w:t>
      </w:r>
      <w:r w:rsidRPr="00E116B6" w:rsidR="005B0AC0">
        <w:rPr>
          <w:lang w:val="en-GB"/>
        </w:rPr>
        <w:t xml:space="preserve">s wife, she attended the hearing </w:t>
      </w:r>
      <w:r w:rsidRPr="00E116B6" w:rsidR="006555F4">
        <w:rPr>
          <w:lang w:val="en-GB"/>
        </w:rPr>
        <w:t xml:space="preserve">on </w:t>
      </w:r>
      <w:r w:rsidRPr="00E116B6" w:rsidR="005B0AC0">
        <w:rPr>
          <w:lang w:val="en-GB"/>
        </w:rPr>
        <w:t>16</w:t>
      </w:r>
      <w:r w:rsidRPr="00E116B6" w:rsidR="00B370DE">
        <w:rPr>
          <w:lang w:val="en-GB"/>
        </w:rPr>
        <w:t> </w:t>
      </w:r>
      <w:r w:rsidRPr="00E116B6" w:rsidR="005B0AC0">
        <w:rPr>
          <w:lang w:val="en-GB"/>
        </w:rPr>
        <w:t>May 2004 and noticed that her husband</w:t>
      </w:r>
      <w:r w:rsidRPr="00E116B6" w:rsidR="00E116B6">
        <w:rPr>
          <w:lang w:val="en-GB"/>
        </w:rPr>
        <w:t>’</w:t>
      </w:r>
      <w:r w:rsidRPr="00E116B6" w:rsidR="005B0AC0">
        <w:rPr>
          <w:lang w:val="en-GB"/>
        </w:rPr>
        <w:t xml:space="preserve">s nails </w:t>
      </w:r>
      <w:r w:rsidRPr="00E116B6" w:rsidR="00F70090">
        <w:rPr>
          <w:lang w:val="en-GB"/>
        </w:rPr>
        <w:t xml:space="preserve">had been </w:t>
      </w:r>
      <w:r w:rsidRPr="00E116B6" w:rsidR="005B0AC0">
        <w:rPr>
          <w:lang w:val="en-GB"/>
        </w:rPr>
        <w:t xml:space="preserve">bitten down and </w:t>
      </w:r>
      <w:r w:rsidRPr="00E116B6" w:rsidR="000B64D0">
        <w:rPr>
          <w:lang w:val="en-GB"/>
        </w:rPr>
        <w:t xml:space="preserve">were </w:t>
      </w:r>
      <w:r w:rsidRPr="00E116B6" w:rsidR="005B0AC0">
        <w:rPr>
          <w:lang w:val="en-GB"/>
        </w:rPr>
        <w:t xml:space="preserve">blackened and that he had bandages </w:t>
      </w:r>
      <w:r w:rsidRPr="00E116B6" w:rsidR="006555F4">
        <w:rPr>
          <w:lang w:val="en-GB"/>
        </w:rPr>
        <w:t xml:space="preserve">on </w:t>
      </w:r>
      <w:r w:rsidRPr="00E116B6" w:rsidR="005B0AC0">
        <w:rPr>
          <w:lang w:val="en-GB"/>
        </w:rPr>
        <w:t>his wrists which he attempt</w:t>
      </w:r>
      <w:r w:rsidRPr="00E116B6" w:rsidR="00F70090">
        <w:rPr>
          <w:lang w:val="en-GB"/>
        </w:rPr>
        <w:t>ed</w:t>
      </w:r>
      <w:r w:rsidRPr="00E116B6" w:rsidR="005B0AC0">
        <w:rPr>
          <w:lang w:val="en-GB"/>
        </w:rPr>
        <w:t xml:space="preserve"> to hide under his pullover.</w:t>
      </w:r>
    </w:p>
    <w:p w:rsidRPr="00E116B6" w:rsidR="005B0AC0" w:rsidP="00E116B6" w:rsidRDefault="004C4CF3">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20</w:t>
      </w:r>
      <w:r w:rsidRPr="00E116B6">
        <w:rPr>
          <w:lang w:val="en-GB"/>
        </w:rPr>
        <w:fldChar w:fldCharType="end"/>
      </w:r>
      <w:r w:rsidRPr="00E116B6" w:rsidR="00696734">
        <w:rPr>
          <w:lang w:val="en-GB"/>
        </w:rPr>
        <w:t>.  </w:t>
      </w:r>
      <w:r w:rsidRPr="00E116B6" w:rsidR="00545170">
        <w:rPr>
          <w:lang w:val="en-GB"/>
        </w:rPr>
        <w:t>On the same day,</w:t>
      </w:r>
      <w:r w:rsidRPr="00E116B6" w:rsidR="00696734">
        <w:rPr>
          <w:lang w:val="en-GB"/>
        </w:rPr>
        <w:t xml:space="preserve"> 16 May 2004</w:t>
      </w:r>
      <w:r w:rsidRPr="00E116B6" w:rsidR="00E463D7">
        <w:rPr>
          <w:lang w:val="en-GB"/>
        </w:rPr>
        <w:t>,</w:t>
      </w:r>
      <w:r w:rsidRPr="00E116B6" w:rsidR="00696734">
        <w:rPr>
          <w:lang w:val="en-GB"/>
        </w:rPr>
        <w:t xml:space="preserve"> </w:t>
      </w:r>
      <w:r w:rsidRPr="00E116B6" w:rsidR="008E0019">
        <w:rPr>
          <w:lang w:val="en-GB"/>
        </w:rPr>
        <w:t xml:space="preserve">the </w:t>
      </w:r>
      <w:r w:rsidRPr="00E116B6" w:rsidR="000D0AB5">
        <w:rPr>
          <w:lang w:val="en-GB"/>
        </w:rPr>
        <w:t xml:space="preserve">first and second applicants </w:t>
      </w:r>
      <w:r w:rsidRPr="00E116B6" w:rsidR="00545170">
        <w:rPr>
          <w:lang w:val="en-GB"/>
        </w:rPr>
        <w:t>were</w:t>
      </w:r>
      <w:r w:rsidRPr="00E116B6" w:rsidR="008E0019">
        <w:rPr>
          <w:lang w:val="en-GB"/>
        </w:rPr>
        <w:t xml:space="preserve"> transferred from </w:t>
      </w:r>
      <w:r w:rsidRPr="00E116B6" w:rsidR="00737663">
        <w:rPr>
          <w:lang w:val="en-GB"/>
        </w:rPr>
        <w:t>Tbilisi police headquarters</w:t>
      </w:r>
      <w:r w:rsidRPr="00E116B6" w:rsidR="008E0019">
        <w:rPr>
          <w:lang w:val="en-GB"/>
        </w:rPr>
        <w:t xml:space="preserve">, where </w:t>
      </w:r>
      <w:r w:rsidRPr="00E116B6" w:rsidR="00E463D7">
        <w:rPr>
          <w:lang w:val="en-GB"/>
        </w:rPr>
        <w:t>they had been</w:t>
      </w:r>
      <w:r w:rsidRPr="00E116B6" w:rsidR="008E0019">
        <w:rPr>
          <w:lang w:val="en-GB"/>
        </w:rPr>
        <w:t xml:space="preserve"> </w:t>
      </w:r>
      <w:r w:rsidRPr="00E116B6" w:rsidR="00F70090">
        <w:rPr>
          <w:lang w:val="en-GB"/>
        </w:rPr>
        <w:t xml:space="preserve">held </w:t>
      </w:r>
      <w:r w:rsidRPr="00E116B6" w:rsidR="00545170">
        <w:rPr>
          <w:lang w:val="en-GB"/>
        </w:rPr>
        <w:t>since</w:t>
      </w:r>
      <w:r w:rsidRPr="00E116B6" w:rsidR="00E463D7">
        <w:rPr>
          <w:lang w:val="en-GB"/>
        </w:rPr>
        <w:t xml:space="preserve"> their arrest</w:t>
      </w:r>
      <w:r w:rsidRPr="00E116B6" w:rsidR="008E0019">
        <w:rPr>
          <w:lang w:val="en-GB"/>
        </w:rPr>
        <w:t>, to</w:t>
      </w:r>
      <w:r w:rsidRPr="00E116B6" w:rsidR="000D0AB5">
        <w:rPr>
          <w:lang w:val="en-GB"/>
        </w:rPr>
        <w:t xml:space="preserve">, respectively, </w:t>
      </w:r>
      <w:r w:rsidRPr="00E116B6" w:rsidR="00F70090">
        <w:rPr>
          <w:lang w:val="en-GB"/>
        </w:rPr>
        <w:t>P</w:t>
      </w:r>
      <w:r w:rsidRPr="00E116B6" w:rsidR="000D0AB5">
        <w:rPr>
          <w:lang w:val="en-GB"/>
        </w:rPr>
        <w:t>ris</w:t>
      </w:r>
      <w:r w:rsidRPr="00E116B6" w:rsidR="006555F4">
        <w:rPr>
          <w:lang w:val="en-GB"/>
        </w:rPr>
        <w:t xml:space="preserve">on </w:t>
      </w:r>
      <w:r w:rsidRPr="00E116B6" w:rsidR="000D0AB5">
        <w:rPr>
          <w:lang w:val="en-GB"/>
        </w:rPr>
        <w:t>no.</w:t>
      </w:r>
      <w:r w:rsidRPr="00E116B6" w:rsidR="008E0019">
        <w:rPr>
          <w:lang w:val="en-GB"/>
        </w:rPr>
        <w:t xml:space="preserve"> 7</w:t>
      </w:r>
      <w:r w:rsidRPr="00E116B6" w:rsidR="000D0AB5">
        <w:rPr>
          <w:lang w:val="en-GB"/>
        </w:rPr>
        <w:t xml:space="preserve"> and </w:t>
      </w:r>
      <w:r w:rsidRPr="00E116B6" w:rsidR="000B64D0">
        <w:rPr>
          <w:lang w:val="en-GB"/>
        </w:rPr>
        <w:t>Pris</w:t>
      </w:r>
      <w:r w:rsidRPr="00E116B6" w:rsidR="006555F4">
        <w:rPr>
          <w:lang w:val="en-GB"/>
        </w:rPr>
        <w:t xml:space="preserve">on </w:t>
      </w:r>
      <w:r w:rsidRPr="00E116B6" w:rsidR="000B64D0">
        <w:rPr>
          <w:lang w:val="en-GB"/>
        </w:rPr>
        <w:t xml:space="preserve">no. </w:t>
      </w:r>
      <w:r w:rsidRPr="00E116B6" w:rsidR="000D0AB5">
        <w:rPr>
          <w:lang w:val="en-GB"/>
        </w:rPr>
        <w:t>1</w:t>
      </w:r>
      <w:r w:rsidRPr="00E116B6" w:rsidR="008E0019">
        <w:rPr>
          <w:lang w:val="en-GB"/>
        </w:rPr>
        <w:t xml:space="preserve"> in Tbilisi</w:t>
      </w:r>
      <w:r w:rsidRPr="00E116B6" w:rsidR="00737663">
        <w:rPr>
          <w:lang w:val="en-GB"/>
        </w:rPr>
        <w:t xml:space="preserve">. They remained in those prisons </w:t>
      </w:r>
      <w:r w:rsidRPr="00E116B6" w:rsidR="008E0019">
        <w:rPr>
          <w:lang w:val="en-GB"/>
        </w:rPr>
        <w:t xml:space="preserve">for the </w:t>
      </w:r>
      <w:r w:rsidRPr="00E116B6" w:rsidR="00737663">
        <w:rPr>
          <w:lang w:val="en-GB"/>
        </w:rPr>
        <w:t xml:space="preserve">whole </w:t>
      </w:r>
      <w:r w:rsidRPr="00E116B6" w:rsidR="008E0019">
        <w:rPr>
          <w:lang w:val="en-GB"/>
        </w:rPr>
        <w:t>of the</w:t>
      </w:r>
      <w:r w:rsidRPr="00E116B6" w:rsidR="00545170">
        <w:rPr>
          <w:lang w:val="en-GB"/>
        </w:rPr>
        <w:t>ir</w:t>
      </w:r>
      <w:r w:rsidRPr="00E116B6" w:rsidR="008E0019">
        <w:rPr>
          <w:lang w:val="en-GB"/>
        </w:rPr>
        <w:t xml:space="preserve"> pre-trial detention</w:t>
      </w:r>
      <w:r w:rsidRPr="00E116B6" w:rsidR="00737663">
        <w:rPr>
          <w:lang w:val="en-GB"/>
        </w:rPr>
        <w:t>, until their convicti</w:t>
      </w:r>
      <w:r w:rsidRPr="00E116B6" w:rsidR="006555F4">
        <w:rPr>
          <w:lang w:val="en-GB"/>
        </w:rPr>
        <w:t xml:space="preserve">on </w:t>
      </w:r>
      <w:r w:rsidRPr="00E116B6" w:rsidR="00737663">
        <w:rPr>
          <w:lang w:val="en-GB"/>
        </w:rPr>
        <w:t xml:space="preserve">at first instance (see paragraph </w:t>
      </w:r>
      <w:r w:rsidRPr="00E116B6" w:rsidR="005F447E">
        <w:rPr>
          <w:lang w:val="en-GB"/>
        </w:rPr>
        <w:fldChar w:fldCharType="begin"/>
      </w:r>
      <w:r w:rsidRPr="00E116B6" w:rsidR="005F447E">
        <w:rPr>
          <w:lang w:val="en-GB"/>
        </w:rPr>
        <w:instrText xml:space="preserve"> REF conviction \h </w:instrText>
      </w:r>
      <w:r w:rsidRPr="00E116B6" w:rsidR="005F447E">
        <w:rPr>
          <w:lang w:val="en-GB"/>
        </w:rPr>
      </w:r>
      <w:r w:rsidRPr="00E116B6" w:rsidR="005F447E">
        <w:rPr>
          <w:lang w:val="en-GB"/>
        </w:rPr>
        <w:fldChar w:fldCharType="separate"/>
      </w:r>
      <w:r w:rsidRPr="00E116B6" w:rsidR="00E116B6">
        <w:rPr>
          <w:noProof/>
          <w:lang w:val="en-GB"/>
        </w:rPr>
        <w:t>73</w:t>
      </w:r>
      <w:r w:rsidRPr="00E116B6" w:rsidR="005F447E">
        <w:rPr>
          <w:lang w:val="en-GB"/>
        </w:rPr>
        <w:fldChar w:fldCharType="end"/>
      </w:r>
      <w:r w:rsidRPr="00E116B6" w:rsidR="00737663">
        <w:rPr>
          <w:lang w:val="en-GB"/>
        </w:rPr>
        <w:t xml:space="preserve"> below)</w:t>
      </w:r>
      <w:r w:rsidRPr="00E116B6" w:rsidR="008E0019">
        <w:rPr>
          <w:lang w:val="en-GB"/>
        </w:rPr>
        <w:t>.</w:t>
      </w:r>
    </w:p>
    <w:p w:rsidRPr="00E116B6" w:rsidR="00AC1180" w:rsidP="00E116B6" w:rsidRDefault="004C4CF3">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21</w:t>
      </w:r>
      <w:r w:rsidRPr="00E116B6">
        <w:rPr>
          <w:lang w:val="en-GB"/>
        </w:rPr>
        <w:fldChar w:fldCharType="end"/>
      </w:r>
      <w:r w:rsidRPr="00E116B6" w:rsidR="005B0AC0">
        <w:rPr>
          <w:lang w:val="en-GB"/>
        </w:rPr>
        <w:t>.  </w:t>
      </w:r>
      <w:r w:rsidRPr="00E116B6" w:rsidR="00545170">
        <w:rPr>
          <w:lang w:val="en-GB"/>
        </w:rPr>
        <w:t>Up</w:t>
      </w:r>
      <w:r w:rsidRPr="00E116B6" w:rsidR="006555F4">
        <w:rPr>
          <w:lang w:val="en-GB"/>
        </w:rPr>
        <w:t xml:space="preserve">on </w:t>
      </w:r>
      <w:r w:rsidRPr="00E116B6" w:rsidR="00545170">
        <w:rPr>
          <w:lang w:val="en-GB"/>
        </w:rPr>
        <w:t>his admissi</w:t>
      </w:r>
      <w:r w:rsidRPr="00E116B6" w:rsidR="006555F4">
        <w:rPr>
          <w:lang w:val="en-GB"/>
        </w:rPr>
        <w:t xml:space="preserve">on </w:t>
      </w:r>
      <w:r w:rsidRPr="00E116B6" w:rsidR="00545170">
        <w:rPr>
          <w:lang w:val="en-GB"/>
        </w:rPr>
        <w:t xml:space="preserve">to </w:t>
      </w:r>
      <w:r w:rsidRPr="00E116B6" w:rsidR="00F70090">
        <w:rPr>
          <w:lang w:val="en-GB"/>
        </w:rPr>
        <w:t>P</w:t>
      </w:r>
      <w:r w:rsidRPr="00E116B6" w:rsidR="005B0AC0">
        <w:rPr>
          <w:lang w:val="en-GB"/>
        </w:rPr>
        <w:t>ris</w:t>
      </w:r>
      <w:r w:rsidRPr="00E116B6" w:rsidR="006555F4">
        <w:rPr>
          <w:lang w:val="en-GB"/>
        </w:rPr>
        <w:t xml:space="preserve">on </w:t>
      </w:r>
      <w:r w:rsidRPr="00E116B6" w:rsidR="005B0AC0">
        <w:rPr>
          <w:lang w:val="en-GB"/>
        </w:rPr>
        <w:t xml:space="preserve">no. 7 </w:t>
      </w:r>
      <w:r w:rsidRPr="00E116B6" w:rsidR="006555F4">
        <w:rPr>
          <w:lang w:val="en-GB"/>
        </w:rPr>
        <w:t xml:space="preserve">on </w:t>
      </w:r>
      <w:r w:rsidRPr="00E116B6" w:rsidR="005B0AC0">
        <w:rPr>
          <w:lang w:val="en-GB"/>
        </w:rPr>
        <w:t>16 May 2004</w:t>
      </w:r>
      <w:r w:rsidRPr="00E116B6" w:rsidR="00545170">
        <w:rPr>
          <w:lang w:val="en-GB"/>
        </w:rPr>
        <w:t xml:space="preserve">, the first applicant </w:t>
      </w:r>
      <w:r w:rsidRPr="00E116B6" w:rsidR="0090796B">
        <w:rPr>
          <w:lang w:val="en-GB"/>
        </w:rPr>
        <w:t xml:space="preserve">was examined </w:t>
      </w:r>
      <w:r w:rsidRPr="00E116B6" w:rsidR="00545170">
        <w:rPr>
          <w:lang w:val="en-GB"/>
        </w:rPr>
        <w:t>by the pris</w:t>
      </w:r>
      <w:r w:rsidRPr="00E116B6" w:rsidR="006555F4">
        <w:rPr>
          <w:lang w:val="en-GB"/>
        </w:rPr>
        <w:t xml:space="preserve">on </w:t>
      </w:r>
      <w:r w:rsidRPr="00E116B6" w:rsidR="00545170">
        <w:rPr>
          <w:lang w:val="en-GB"/>
        </w:rPr>
        <w:t>doctor</w:t>
      </w:r>
      <w:r w:rsidRPr="00E116B6" w:rsidR="0090796B">
        <w:rPr>
          <w:lang w:val="en-GB"/>
        </w:rPr>
        <w:t>,</w:t>
      </w:r>
      <w:r w:rsidRPr="00E116B6" w:rsidR="00545170">
        <w:rPr>
          <w:lang w:val="en-GB"/>
        </w:rPr>
        <w:t xml:space="preserve"> who noted in a report that there were </w:t>
      </w:r>
      <w:r w:rsidRPr="00E116B6" w:rsidR="00EC0038">
        <w:rPr>
          <w:lang w:val="en-GB"/>
        </w:rPr>
        <w:t xml:space="preserve">no </w:t>
      </w:r>
      <w:r w:rsidRPr="00E116B6" w:rsidR="00545170">
        <w:rPr>
          <w:lang w:val="en-GB"/>
        </w:rPr>
        <w:t xml:space="preserve">marks of violence </w:t>
      </w:r>
      <w:r w:rsidRPr="00E116B6" w:rsidR="006555F4">
        <w:rPr>
          <w:lang w:val="en-GB"/>
        </w:rPr>
        <w:t xml:space="preserve">on </w:t>
      </w:r>
      <w:r w:rsidRPr="00E116B6" w:rsidR="00545170">
        <w:rPr>
          <w:lang w:val="en-GB"/>
        </w:rPr>
        <w:t>his body.</w:t>
      </w:r>
    </w:p>
    <w:p w:rsidRPr="00E116B6" w:rsidR="00545170" w:rsidP="00E116B6" w:rsidRDefault="004C4CF3">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22</w:t>
      </w:r>
      <w:r w:rsidRPr="00E116B6">
        <w:rPr>
          <w:lang w:val="en-GB"/>
        </w:rPr>
        <w:fldChar w:fldCharType="end"/>
      </w:r>
      <w:r w:rsidRPr="00E116B6" w:rsidR="005B0AC0">
        <w:rPr>
          <w:lang w:val="en-GB"/>
        </w:rPr>
        <w:t>.  </w:t>
      </w:r>
      <w:r w:rsidRPr="00E116B6" w:rsidR="00696734">
        <w:rPr>
          <w:lang w:val="en-GB"/>
        </w:rPr>
        <w:t>On 27 May 2004 the Tbi</w:t>
      </w:r>
      <w:r w:rsidRPr="00E116B6" w:rsidR="00545170">
        <w:rPr>
          <w:lang w:val="en-GB"/>
        </w:rPr>
        <w:t>lisi Court of Appeal</w:t>
      </w:r>
      <w:r w:rsidRPr="00E116B6" w:rsidR="000B64D0">
        <w:rPr>
          <w:lang w:val="en-GB"/>
        </w:rPr>
        <w:t xml:space="preserve"> </w:t>
      </w:r>
      <w:r w:rsidRPr="00E116B6" w:rsidR="00545170">
        <w:rPr>
          <w:lang w:val="en-GB"/>
        </w:rPr>
        <w:t>dismiss</w:t>
      </w:r>
      <w:r w:rsidRPr="00E116B6" w:rsidR="000B64D0">
        <w:rPr>
          <w:lang w:val="en-GB"/>
        </w:rPr>
        <w:t>ed</w:t>
      </w:r>
      <w:r w:rsidRPr="00E116B6" w:rsidR="00545170">
        <w:rPr>
          <w:lang w:val="en-GB"/>
        </w:rPr>
        <w:t xml:space="preserve"> </w:t>
      </w:r>
      <w:r w:rsidRPr="00E116B6" w:rsidR="0090796B">
        <w:rPr>
          <w:lang w:val="en-GB"/>
        </w:rPr>
        <w:t xml:space="preserve">an appeal by </w:t>
      </w:r>
      <w:r w:rsidRPr="00E116B6" w:rsidR="00545170">
        <w:rPr>
          <w:lang w:val="en-GB"/>
        </w:rPr>
        <w:t>the applicants</w:t>
      </w:r>
      <w:r w:rsidRPr="00E116B6" w:rsidR="000B64D0">
        <w:rPr>
          <w:lang w:val="en-GB"/>
        </w:rPr>
        <w:t xml:space="preserve"> and </w:t>
      </w:r>
      <w:r w:rsidRPr="00E116B6" w:rsidR="00545170">
        <w:rPr>
          <w:lang w:val="en-GB"/>
        </w:rPr>
        <w:t>upheld the reasons given in the detenti</w:t>
      </w:r>
      <w:r w:rsidRPr="00E116B6" w:rsidR="006555F4">
        <w:rPr>
          <w:lang w:val="en-GB"/>
        </w:rPr>
        <w:t xml:space="preserve">on </w:t>
      </w:r>
      <w:r w:rsidRPr="00E116B6" w:rsidR="00545170">
        <w:rPr>
          <w:lang w:val="en-GB"/>
        </w:rPr>
        <w:t>order of 16</w:t>
      </w:r>
      <w:r w:rsidRPr="00E116B6" w:rsidR="00B370DE">
        <w:rPr>
          <w:lang w:val="en-GB"/>
        </w:rPr>
        <w:t> </w:t>
      </w:r>
      <w:r w:rsidRPr="00E116B6" w:rsidR="00545170">
        <w:rPr>
          <w:lang w:val="en-GB"/>
        </w:rPr>
        <w:t>May 2004.</w:t>
      </w:r>
    </w:p>
    <w:p w:rsidRPr="00E116B6" w:rsidR="00581DB1" w:rsidP="00E116B6" w:rsidRDefault="006555F4">
      <w:pPr>
        <w:pStyle w:val="ECHRHeading2"/>
        <w:rPr>
          <w:lang w:val="en-GB"/>
        </w:rPr>
      </w:pPr>
      <w:r w:rsidRPr="00E116B6">
        <w:rPr>
          <w:lang w:val="en-GB"/>
        </w:rPr>
        <w:t>B.  </w:t>
      </w:r>
      <w:r w:rsidRPr="00E116B6" w:rsidR="00581DB1">
        <w:rPr>
          <w:lang w:val="en-GB"/>
        </w:rPr>
        <w:t xml:space="preserve">Subsequent </w:t>
      </w:r>
      <w:r w:rsidRPr="00E116B6" w:rsidR="001B1B8F">
        <w:rPr>
          <w:lang w:val="en-GB"/>
        </w:rPr>
        <w:t>pre-trial developments in the criminal case against the applicants</w:t>
      </w:r>
    </w:p>
    <w:bookmarkStart w:name="privatelawyer" w:id="9"/>
    <w:bookmarkStart w:name="complaintdate" w:id="10"/>
    <w:p w:rsidRPr="00E116B6" w:rsidR="00AC1180" w:rsidP="00E116B6" w:rsidRDefault="004C4CF3">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23</w:t>
      </w:r>
      <w:r w:rsidRPr="00E116B6">
        <w:rPr>
          <w:lang w:val="en-GB"/>
        </w:rPr>
        <w:fldChar w:fldCharType="end"/>
      </w:r>
      <w:bookmarkEnd w:id="9"/>
      <w:bookmarkEnd w:id="10"/>
      <w:r w:rsidRPr="00E116B6" w:rsidR="00581DB1">
        <w:rPr>
          <w:lang w:val="en-GB"/>
        </w:rPr>
        <w:t>.  On 4 June 2004</w:t>
      </w:r>
      <w:r w:rsidRPr="00E116B6" w:rsidR="00417643">
        <w:rPr>
          <w:lang w:val="en-GB"/>
        </w:rPr>
        <w:t>, immediately after</w:t>
      </w:r>
      <w:r w:rsidRPr="00E116B6" w:rsidR="00CC208C">
        <w:rPr>
          <w:lang w:val="en-GB"/>
        </w:rPr>
        <w:t xml:space="preserve">, </w:t>
      </w:r>
      <w:r w:rsidRPr="00E116B6" w:rsidR="00581DB1">
        <w:rPr>
          <w:lang w:val="en-GB"/>
        </w:rPr>
        <w:t>a private lawyer</w:t>
      </w:r>
      <w:r w:rsidRPr="00E116B6" w:rsidR="0090796B">
        <w:rPr>
          <w:lang w:val="en-GB"/>
        </w:rPr>
        <w:t>,</w:t>
      </w:r>
      <w:r w:rsidRPr="00E116B6" w:rsidR="00581DB1">
        <w:rPr>
          <w:lang w:val="en-GB"/>
        </w:rPr>
        <w:t xml:space="preserve"> </w:t>
      </w:r>
      <w:r w:rsidRPr="00E116B6" w:rsidR="0090796B">
        <w:rPr>
          <w:lang w:val="en-GB"/>
        </w:rPr>
        <w:t xml:space="preserve">had been </w:t>
      </w:r>
      <w:r w:rsidRPr="00E116B6" w:rsidR="00581DB1">
        <w:rPr>
          <w:lang w:val="en-GB"/>
        </w:rPr>
        <w:t xml:space="preserve">hired </w:t>
      </w:r>
      <w:r w:rsidRPr="00E116B6" w:rsidR="0090796B">
        <w:rPr>
          <w:lang w:val="en-GB"/>
        </w:rPr>
        <w:t xml:space="preserve">for the first applicant </w:t>
      </w:r>
      <w:r w:rsidRPr="00E116B6" w:rsidR="00581DB1">
        <w:rPr>
          <w:lang w:val="en-GB"/>
        </w:rPr>
        <w:t>by his family</w:t>
      </w:r>
      <w:r w:rsidRPr="00E116B6" w:rsidR="00AC44B4">
        <w:rPr>
          <w:lang w:val="en-GB"/>
        </w:rPr>
        <w:t xml:space="preserve"> (“the private lawyer”)</w:t>
      </w:r>
      <w:r w:rsidRPr="00E116B6" w:rsidR="00CC208C">
        <w:rPr>
          <w:lang w:val="en-GB"/>
        </w:rPr>
        <w:t>,</w:t>
      </w:r>
      <w:r w:rsidRPr="00E116B6" w:rsidR="00581DB1">
        <w:rPr>
          <w:lang w:val="en-GB"/>
        </w:rPr>
        <w:t xml:space="preserve"> </w:t>
      </w:r>
      <w:r w:rsidRPr="00E116B6" w:rsidR="00417643">
        <w:rPr>
          <w:lang w:val="en-GB"/>
        </w:rPr>
        <w:t xml:space="preserve">the </w:t>
      </w:r>
      <w:r w:rsidRPr="00E116B6" w:rsidR="000B64D0">
        <w:rPr>
          <w:lang w:val="en-GB"/>
        </w:rPr>
        <w:t xml:space="preserve">first applicant </w:t>
      </w:r>
      <w:r w:rsidRPr="00E116B6" w:rsidR="00E61358">
        <w:rPr>
          <w:lang w:val="en-GB"/>
        </w:rPr>
        <w:t xml:space="preserve">submitted a complaint to the investigator, alleging that he had given </w:t>
      </w:r>
      <w:r w:rsidRPr="00E116B6" w:rsidR="0090796B">
        <w:rPr>
          <w:lang w:val="en-GB"/>
        </w:rPr>
        <w:t>his</w:t>
      </w:r>
      <w:r w:rsidRPr="00E116B6" w:rsidR="00E61358">
        <w:rPr>
          <w:lang w:val="en-GB"/>
        </w:rPr>
        <w:t xml:space="preserve"> confessi</w:t>
      </w:r>
      <w:r w:rsidRPr="00E116B6" w:rsidR="006555F4">
        <w:rPr>
          <w:lang w:val="en-GB"/>
        </w:rPr>
        <w:t xml:space="preserve">on </w:t>
      </w:r>
      <w:r w:rsidRPr="00E116B6" w:rsidR="00E61358">
        <w:rPr>
          <w:lang w:val="en-GB"/>
        </w:rPr>
        <w:t>o</w:t>
      </w:r>
      <w:r w:rsidRPr="00E116B6" w:rsidR="0090796B">
        <w:rPr>
          <w:lang w:val="en-GB"/>
        </w:rPr>
        <w:t>f</w:t>
      </w:r>
      <w:r w:rsidRPr="00E116B6" w:rsidR="00E61358">
        <w:rPr>
          <w:lang w:val="en-GB"/>
        </w:rPr>
        <w:t xml:space="preserve"> 13</w:t>
      </w:r>
      <w:r w:rsidRPr="00E116B6" w:rsidR="0000400E">
        <w:rPr>
          <w:lang w:val="en-GB"/>
        </w:rPr>
        <w:t> </w:t>
      </w:r>
      <w:r w:rsidRPr="00E116B6" w:rsidR="00E61358">
        <w:rPr>
          <w:lang w:val="en-GB"/>
        </w:rPr>
        <w:t>May 2004 as a result of torture,</w:t>
      </w:r>
      <w:r w:rsidRPr="00E116B6" w:rsidR="00417643">
        <w:rPr>
          <w:lang w:val="en-GB"/>
        </w:rPr>
        <w:t xml:space="preserve"> and</w:t>
      </w:r>
      <w:r w:rsidRPr="00E116B6" w:rsidR="00E61358">
        <w:rPr>
          <w:lang w:val="en-GB"/>
        </w:rPr>
        <w:t xml:space="preserve"> that those statements </w:t>
      </w:r>
      <w:r w:rsidRPr="00E116B6" w:rsidR="000B64D0">
        <w:rPr>
          <w:lang w:val="en-GB"/>
        </w:rPr>
        <w:t xml:space="preserve">had </w:t>
      </w:r>
      <w:r w:rsidRPr="00E116B6" w:rsidR="00E61358">
        <w:rPr>
          <w:lang w:val="en-GB"/>
        </w:rPr>
        <w:t xml:space="preserve">not </w:t>
      </w:r>
      <w:r w:rsidRPr="00E116B6" w:rsidR="000B64D0">
        <w:rPr>
          <w:lang w:val="en-GB"/>
        </w:rPr>
        <w:t xml:space="preserve">been </w:t>
      </w:r>
      <w:r w:rsidRPr="00E116B6" w:rsidR="00E61358">
        <w:rPr>
          <w:lang w:val="en-GB"/>
        </w:rPr>
        <w:t>tru</w:t>
      </w:r>
      <w:r w:rsidRPr="00E116B6" w:rsidR="0090796B">
        <w:rPr>
          <w:lang w:val="en-GB"/>
        </w:rPr>
        <w:t>e</w:t>
      </w:r>
      <w:r w:rsidRPr="00E116B6" w:rsidR="00417643">
        <w:rPr>
          <w:lang w:val="en-GB"/>
        </w:rPr>
        <w:t>.</w:t>
      </w:r>
      <w:r w:rsidRPr="00E116B6" w:rsidR="00E61358">
        <w:rPr>
          <w:lang w:val="en-GB"/>
        </w:rPr>
        <w:t xml:space="preserve"> </w:t>
      </w:r>
      <w:r w:rsidRPr="00E116B6" w:rsidR="00417643">
        <w:rPr>
          <w:lang w:val="en-GB"/>
        </w:rPr>
        <w:t>T</w:t>
      </w:r>
      <w:r w:rsidRPr="00E116B6" w:rsidR="00E61358">
        <w:rPr>
          <w:lang w:val="en-GB"/>
        </w:rPr>
        <w:t>he</w:t>
      </w:r>
      <w:r w:rsidRPr="00E116B6" w:rsidR="00417643">
        <w:rPr>
          <w:lang w:val="en-GB"/>
        </w:rPr>
        <w:t xml:space="preserve"> first</w:t>
      </w:r>
      <w:r w:rsidRPr="00E116B6" w:rsidR="00E61358">
        <w:rPr>
          <w:lang w:val="en-GB"/>
        </w:rPr>
        <w:t xml:space="preserve"> applicant asked to be questioned again. </w:t>
      </w:r>
      <w:r w:rsidRPr="00E116B6" w:rsidR="000B64D0">
        <w:rPr>
          <w:lang w:val="en-GB"/>
        </w:rPr>
        <w:t>He a</w:t>
      </w:r>
      <w:r w:rsidRPr="00E116B6" w:rsidR="0090796B">
        <w:rPr>
          <w:lang w:val="en-GB"/>
        </w:rPr>
        <w:t xml:space="preserve">lleged that he had </w:t>
      </w:r>
      <w:r w:rsidRPr="00E116B6" w:rsidR="00E61358">
        <w:rPr>
          <w:lang w:val="en-GB"/>
        </w:rPr>
        <w:t xml:space="preserve">been subjected </w:t>
      </w:r>
      <w:r w:rsidRPr="00E116B6" w:rsidR="0090796B">
        <w:rPr>
          <w:lang w:val="en-GB"/>
        </w:rPr>
        <w:t xml:space="preserve">to </w:t>
      </w:r>
      <w:r w:rsidRPr="00E116B6" w:rsidR="00E61358">
        <w:rPr>
          <w:lang w:val="en-GB"/>
        </w:rPr>
        <w:t>electr</w:t>
      </w:r>
      <w:r w:rsidRPr="00E116B6" w:rsidR="0090796B">
        <w:rPr>
          <w:lang w:val="en-GB"/>
        </w:rPr>
        <w:t xml:space="preserve">ical </w:t>
      </w:r>
      <w:r w:rsidRPr="00E116B6" w:rsidR="00E61358">
        <w:rPr>
          <w:lang w:val="en-GB"/>
        </w:rPr>
        <w:t>shocks and severe beatings</w:t>
      </w:r>
      <w:r w:rsidRPr="00E116B6" w:rsidR="00417643">
        <w:rPr>
          <w:lang w:val="en-GB"/>
        </w:rPr>
        <w:t xml:space="preserve"> </w:t>
      </w:r>
      <w:r w:rsidRPr="00E116B6" w:rsidR="006555F4">
        <w:rPr>
          <w:lang w:val="en-GB"/>
        </w:rPr>
        <w:t xml:space="preserve">on </w:t>
      </w:r>
      <w:r w:rsidRPr="00E116B6" w:rsidR="00417643">
        <w:rPr>
          <w:lang w:val="en-GB"/>
        </w:rPr>
        <w:t>13 May 2004</w:t>
      </w:r>
      <w:r w:rsidRPr="00E116B6" w:rsidR="000B64D0">
        <w:rPr>
          <w:lang w:val="en-GB"/>
        </w:rPr>
        <w:t xml:space="preserve"> and </w:t>
      </w:r>
      <w:r w:rsidRPr="00E116B6" w:rsidR="00E61358">
        <w:rPr>
          <w:lang w:val="en-GB"/>
        </w:rPr>
        <w:t>requested that a comprehensive medical examinati</w:t>
      </w:r>
      <w:r w:rsidRPr="00E116B6" w:rsidR="006555F4">
        <w:rPr>
          <w:lang w:val="en-GB"/>
        </w:rPr>
        <w:t xml:space="preserve">on </w:t>
      </w:r>
      <w:r w:rsidRPr="00E116B6" w:rsidR="00E61358">
        <w:rPr>
          <w:lang w:val="en-GB"/>
        </w:rPr>
        <w:t xml:space="preserve">be conducted for the purposes of establishing the exact nature of the injuries </w:t>
      </w:r>
      <w:r w:rsidRPr="00E116B6" w:rsidR="0090796B">
        <w:rPr>
          <w:lang w:val="en-GB"/>
        </w:rPr>
        <w:t xml:space="preserve">he had </w:t>
      </w:r>
      <w:r w:rsidRPr="00E116B6" w:rsidR="00E61358">
        <w:rPr>
          <w:lang w:val="en-GB"/>
        </w:rPr>
        <w:t>received.</w:t>
      </w:r>
    </w:p>
    <w:bookmarkStart w:name="ordermedrep" w:id="11"/>
    <w:p w:rsidRPr="00E116B6" w:rsidR="00E61358" w:rsidP="00E116B6" w:rsidRDefault="004C4CF3">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24</w:t>
      </w:r>
      <w:r w:rsidRPr="00E116B6">
        <w:rPr>
          <w:lang w:val="en-GB"/>
        </w:rPr>
        <w:fldChar w:fldCharType="end"/>
      </w:r>
      <w:bookmarkEnd w:id="11"/>
      <w:r w:rsidRPr="00E116B6" w:rsidR="00E61358">
        <w:rPr>
          <w:lang w:val="en-GB"/>
        </w:rPr>
        <w:t>.  On 24 June 2004</w:t>
      </w:r>
      <w:r w:rsidRPr="00E116B6" w:rsidR="005F447E">
        <w:rPr>
          <w:lang w:val="en-GB"/>
        </w:rPr>
        <w:t xml:space="preserve"> </w:t>
      </w:r>
      <w:r w:rsidRPr="00E116B6" w:rsidR="00E61358">
        <w:rPr>
          <w:lang w:val="en-GB"/>
        </w:rPr>
        <w:t xml:space="preserve">the investigator ordered an expert medical report </w:t>
      </w:r>
      <w:r w:rsidRPr="00E116B6" w:rsidR="006555F4">
        <w:rPr>
          <w:lang w:val="en-GB"/>
        </w:rPr>
        <w:t xml:space="preserve">on </w:t>
      </w:r>
      <w:r w:rsidRPr="00E116B6" w:rsidR="00E61358">
        <w:rPr>
          <w:lang w:val="en-GB"/>
        </w:rPr>
        <w:t>the applicant</w:t>
      </w:r>
      <w:r w:rsidRPr="00E116B6" w:rsidR="00E116B6">
        <w:rPr>
          <w:lang w:val="en-GB"/>
        </w:rPr>
        <w:t>’</w:t>
      </w:r>
      <w:r w:rsidRPr="00E116B6" w:rsidR="00E61358">
        <w:rPr>
          <w:lang w:val="en-GB"/>
        </w:rPr>
        <w:t xml:space="preserve">s physical condition, which was </w:t>
      </w:r>
      <w:r w:rsidRPr="00E116B6" w:rsidR="000B64D0">
        <w:rPr>
          <w:lang w:val="en-GB"/>
        </w:rPr>
        <w:t xml:space="preserve">only </w:t>
      </w:r>
      <w:r w:rsidRPr="00E116B6" w:rsidR="00E61358">
        <w:rPr>
          <w:lang w:val="en-GB"/>
        </w:rPr>
        <w:t>produced three months later (see</w:t>
      </w:r>
      <w:r w:rsidRPr="00E116B6" w:rsidR="00417643">
        <w:rPr>
          <w:lang w:val="en-GB"/>
        </w:rPr>
        <w:t xml:space="preserve"> paragraph</w:t>
      </w:r>
      <w:r w:rsidRPr="00E116B6" w:rsidR="00D21DE1">
        <w:rPr>
          <w:lang w:val="en-GB"/>
        </w:rPr>
        <w:t xml:space="preserve"> </w:t>
      </w:r>
      <w:r w:rsidRPr="00E116B6" w:rsidR="00D21DE1">
        <w:rPr>
          <w:lang w:val="en-GB"/>
        </w:rPr>
        <w:fldChar w:fldCharType="begin"/>
      </w:r>
      <w:r w:rsidRPr="00E116B6" w:rsidR="00D21DE1">
        <w:rPr>
          <w:lang w:val="en-GB"/>
        </w:rPr>
        <w:instrText xml:space="preserve"> REF medreport1 \h </w:instrText>
      </w:r>
      <w:r w:rsidRPr="00E116B6" w:rsidR="00D21DE1">
        <w:rPr>
          <w:lang w:val="en-GB"/>
        </w:rPr>
      </w:r>
      <w:r w:rsidRPr="00E116B6" w:rsidR="00D21DE1">
        <w:rPr>
          <w:lang w:val="en-GB"/>
        </w:rPr>
        <w:fldChar w:fldCharType="separate"/>
      </w:r>
      <w:r w:rsidRPr="00E116B6" w:rsidR="00E116B6">
        <w:rPr>
          <w:noProof/>
          <w:lang w:val="en-GB"/>
        </w:rPr>
        <w:t>35</w:t>
      </w:r>
      <w:r w:rsidRPr="00E116B6" w:rsidR="00D21DE1">
        <w:rPr>
          <w:lang w:val="en-GB"/>
        </w:rPr>
        <w:fldChar w:fldCharType="end"/>
      </w:r>
      <w:r w:rsidRPr="00E116B6" w:rsidR="00E61358">
        <w:rPr>
          <w:lang w:val="en-GB"/>
        </w:rPr>
        <w:t xml:space="preserve"> below).</w:t>
      </w:r>
    </w:p>
    <w:bookmarkStart w:name="complaintdate1" w:id="12"/>
    <w:p w:rsidRPr="00E116B6" w:rsidR="00AC1180" w:rsidP="00E116B6" w:rsidRDefault="004C4CF3">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25</w:t>
      </w:r>
      <w:r w:rsidRPr="00E116B6">
        <w:rPr>
          <w:lang w:val="en-GB"/>
        </w:rPr>
        <w:fldChar w:fldCharType="end"/>
      </w:r>
      <w:bookmarkEnd w:id="12"/>
      <w:r w:rsidRPr="00E116B6" w:rsidR="00E61358">
        <w:rPr>
          <w:lang w:val="en-GB"/>
        </w:rPr>
        <w:t xml:space="preserve">.  On 15 June 2004 the first applicant </w:t>
      </w:r>
      <w:r w:rsidRPr="00E116B6" w:rsidR="0090796B">
        <w:rPr>
          <w:lang w:val="en-GB"/>
        </w:rPr>
        <w:t>made a submissi</w:t>
      </w:r>
      <w:r w:rsidRPr="00E116B6" w:rsidR="006555F4">
        <w:rPr>
          <w:lang w:val="en-GB"/>
        </w:rPr>
        <w:t xml:space="preserve">on </w:t>
      </w:r>
      <w:r w:rsidRPr="00E116B6" w:rsidR="00E61358">
        <w:rPr>
          <w:lang w:val="en-GB"/>
        </w:rPr>
        <w:t xml:space="preserve">to the Tbilisi </w:t>
      </w:r>
      <w:r w:rsidRPr="00E116B6" w:rsidR="005B0AC0">
        <w:rPr>
          <w:lang w:val="en-GB"/>
        </w:rPr>
        <w:t xml:space="preserve">City </w:t>
      </w:r>
      <w:r w:rsidRPr="00E116B6" w:rsidR="00E61358">
        <w:rPr>
          <w:lang w:val="en-GB"/>
        </w:rPr>
        <w:t>public prosecutor in charge of his case</w:t>
      </w:r>
      <w:r w:rsidRPr="00E116B6" w:rsidR="005B0AC0">
        <w:rPr>
          <w:lang w:val="en-GB"/>
        </w:rPr>
        <w:t xml:space="preserve"> (“the city prosecut</w:t>
      </w:r>
      <w:r w:rsidRPr="00E116B6" w:rsidR="00E43A5F">
        <w:rPr>
          <w:lang w:val="en-GB"/>
        </w:rPr>
        <w:t>o</w:t>
      </w:r>
      <w:r w:rsidRPr="00E116B6" w:rsidR="005B0AC0">
        <w:rPr>
          <w:lang w:val="en-GB"/>
        </w:rPr>
        <w:t>r”)</w:t>
      </w:r>
      <w:r w:rsidRPr="00E116B6" w:rsidR="00E61358">
        <w:rPr>
          <w:lang w:val="en-GB"/>
        </w:rPr>
        <w:t xml:space="preserve">, asserting </w:t>
      </w:r>
      <w:r w:rsidRPr="00E116B6" w:rsidR="008622E3">
        <w:rPr>
          <w:lang w:val="en-GB"/>
        </w:rPr>
        <w:t>his innocence</w:t>
      </w:r>
      <w:r w:rsidRPr="00E116B6" w:rsidR="00E61358">
        <w:rPr>
          <w:lang w:val="en-GB"/>
        </w:rPr>
        <w:t>. He specified that his first</w:t>
      </w:r>
      <w:r w:rsidRPr="00E116B6" w:rsidR="0090796B">
        <w:rPr>
          <w:lang w:val="en-GB"/>
        </w:rPr>
        <w:t xml:space="preserve"> lawyer</w:t>
      </w:r>
      <w:r w:rsidRPr="00E116B6" w:rsidR="00417643">
        <w:rPr>
          <w:lang w:val="en-GB"/>
        </w:rPr>
        <w:t xml:space="preserve">, </w:t>
      </w:r>
      <w:r w:rsidRPr="00E116B6" w:rsidR="0090796B">
        <w:rPr>
          <w:lang w:val="en-GB"/>
        </w:rPr>
        <w:t xml:space="preserve">appointed by the State, </w:t>
      </w:r>
      <w:r w:rsidRPr="00E116B6" w:rsidR="00E61358">
        <w:rPr>
          <w:lang w:val="en-GB"/>
        </w:rPr>
        <w:t>had been assigned to him by the investigator</w:t>
      </w:r>
      <w:r w:rsidRPr="00E116B6" w:rsidR="00550F0E">
        <w:rPr>
          <w:lang w:val="en-GB"/>
        </w:rPr>
        <w:t xml:space="preserve"> without his consent</w:t>
      </w:r>
      <w:r w:rsidRPr="00E116B6" w:rsidR="00551BFB">
        <w:rPr>
          <w:lang w:val="en-GB"/>
        </w:rPr>
        <w:t> </w:t>
      </w:r>
      <w:r w:rsidRPr="00E116B6" w:rsidR="00417643">
        <w:rPr>
          <w:lang w:val="en-GB"/>
        </w:rPr>
        <w:t>(see paragraph</w:t>
      </w:r>
      <w:r w:rsidRPr="00E116B6" w:rsidR="00551BFB">
        <w:rPr>
          <w:lang w:val="en-GB"/>
        </w:rPr>
        <w:t> </w:t>
      </w:r>
      <w:r w:rsidRPr="00E116B6" w:rsidR="00C520DE">
        <w:rPr>
          <w:lang w:val="en-GB"/>
        </w:rPr>
        <w:fldChar w:fldCharType="begin"/>
      </w:r>
      <w:r w:rsidRPr="00E116B6" w:rsidR="00C520DE">
        <w:rPr>
          <w:lang w:val="en-GB"/>
        </w:rPr>
        <w:instrText xml:space="preserve"> REF publiclawyer1 \h </w:instrText>
      </w:r>
      <w:r w:rsidRPr="00E116B6" w:rsidR="00C520DE">
        <w:rPr>
          <w:lang w:val="en-GB"/>
        </w:rPr>
      </w:r>
      <w:r w:rsidRPr="00E116B6" w:rsidR="00C520DE">
        <w:rPr>
          <w:lang w:val="en-GB"/>
        </w:rPr>
        <w:fldChar w:fldCharType="separate"/>
      </w:r>
      <w:r w:rsidRPr="00E116B6" w:rsidR="00E116B6">
        <w:rPr>
          <w:noProof/>
          <w:lang w:val="en-GB"/>
        </w:rPr>
        <w:t>12</w:t>
      </w:r>
      <w:r w:rsidRPr="00E116B6" w:rsidR="00C520DE">
        <w:rPr>
          <w:lang w:val="en-GB"/>
        </w:rPr>
        <w:fldChar w:fldCharType="end"/>
      </w:r>
      <w:r w:rsidRPr="00E116B6" w:rsidR="00417643">
        <w:rPr>
          <w:lang w:val="en-GB"/>
        </w:rPr>
        <w:t xml:space="preserve"> above)</w:t>
      </w:r>
      <w:r w:rsidRPr="00E116B6" w:rsidR="00E61358">
        <w:rPr>
          <w:lang w:val="en-GB"/>
        </w:rPr>
        <w:t xml:space="preserve">, </w:t>
      </w:r>
      <w:r w:rsidRPr="00E116B6" w:rsidR="0090796B">
        <w:rPr>
          <w:lang w:val="en-GB"/>
        </w:rPr>
        <w:t xml:space="preserve">that he </w:t>
      </w:r>
      <w:r w:rsidRPr="00E116B6" w:rsidR="00E61358">
        <w:rPr>
          <w:lang w:val="en-GB"/>
        </w:rPr>
        <w:t>had done nothi</w:t>
      </w:r>
      <w:r w:rsidRPr="00E116B6" w:rsidR="005B0AC0">
        <w:rPr>
          <w:lang w:val="en-GB"/>
        </w:rPr>
        <w:t xml:space="preserve">ng to defend him, and that he had not even been </w:t>
      </w:r>
      <w:r w:rsidRPr="00E116B6" w:rsidR="0090796B">
        <w:rPr>
          <w:lang w:val="en-GB"/>
        </w:rPr>
        <w:t xml:space="preserve">offered </w:t>
      </w:r>
      <w:r w:rsidRPr="00E116B6" w:rsidR="000B64D0">
        <w:rPr>
          <w:lang w:val="en-GB"/>
        </w:rPr>
        <w:t xml:space="preserve">the possibility of </w:t>
      </w:r>
      <w:r w:rsidRPr="00E116B6" w:rsidR="005B0AC0">
        <w:rPr>
          <w:lang w:val="en-GB"/>
        </w:rPr>
        <w:t>appoint</w:t>
      </w:r>
      <w:r w:rsidRPr="00E116B6" w:rsidR="000B64D0">
        <w:rPr>
          <w:lang w:val="en-GB"/>
        </w:rPr>
        <w:t>ing</w:t>
      </w:r>
      <w:r w:rsidRPr="00E116B6" w:rsidR="005B0AC0">
        <w:rPr>
          <w:lang w:val="en-GB"/>
        </w:rPr>
        <w:t xml:space="preserve"> another lawyer</w:t>
      </w:r>
      <w:r w:rsidRPr="00E116B6" w:rsidR="000B64D0">
        <w:rPr>
          <w:lang w:val="en-GB"/>
        </w:rPr>
        <w:t>,</w:t>
      </w:r>
      <w:r w:rsidRPr="00E116B6" w:rsidR="005B0AC0">
        <w:rPr>
          <w:lang w:val="en-GB"/>
        </w:rPr>
        <w:t xml:space="preserve"> </w:t>
      </w:r>
      <w:r w:rsidRPr="00E116B6" w:rsidR="000B64D0">
        <w:rPr>
          <w:lang w:val="en-GB"/>
        </w:rPr>
        <w:t xml:space="preserve">one </w:t>
      </w:r>
      <w:r w:rsidRPr="00E116B6" w:rsidR="005B0AC0">
        <w:rPr>
          <w:lang w:val="en-GB"/>
        </w:rPr>
        <w:t xml:space="preserve">of his </w:t>
      </w:r>
      <w:r w:rsidRPr="00E116B6" w:rsidR="0090796B">
        <w:rPr>
          <w:lang w:val="en-GB"/>
        </w:rPr>
        <w:t xml:space="preserve">own </w:t>
      </w:r>
      <w:r w:rsidRPr="00E116B6" w:rsidR="005B0AC0">
        <w:rPr>
          <w:lang w:val="en-GB"/>
        </w:rPr>
        <w:t>choice</w:t>
      </w:r>
      <w:r w:rsidRPr="00E116B6" w:rsidR="000B64D0">
        <w:rPr>
          <w:lang w:val="en-GB"/>
        </w:rPr>
        <w:t>,</w:t>
      </w:r>
      <w:r w:rsidRPr="00E116B6" w:rsidR="005B0AC0">
        <w:rPr>
          <w:lang w:val="en-GB"/>
        </w:rPr>
        <w:t xml:space="preserve"> at that time.</w:t>
      </w:r>
      <w:r w:rsidRPr="00E116B6" w:rsidR="00E61358">
        <w:rPr>
          <w:lang w:val="en-GB"/>
        </w:rPr>
        <w:t xml:space="preserve"> </w:t>
      </w:r>
      <w:r w:rsidRPr="00E116B6" w:rsidR="00417643">
        <w:rPr>
          <w:lang w:val="en-GB"/>
        </w:rPr>
        <w:t xml:space="preserve">The first applicant </w:t>
      </w:r>
      <w:r w:rsidRPr="00E116B6" w:rsidR="0090796B">
        <w:rPr>
          <w:lang w:val="en-GB"/>
        </w:rPr>
        <w:t xml:space="preserve">alleged </w:t>
      </w:r>
      <w:r w:rsidRPr="00E116B6" w:rsidR="00417643">
        <w:rPr>
          <w:lang w:val="en-GB"/>
        </w:rPr>
        <w:t>that b</w:t>
      </w:r>
      <w:r w:rsidRPr="00E116B6" w:rsidR="00E61358">
        <w:rPr>
          <w:lang w:val="en-GB"/>
        </w:rPr>
        <w:t xml:space="preserve">efore being questioned </w:t>
      </w:r>
      <w:r w:rsidRPr="00E116B6" w:rsidR="006555F4">
        <w:rPr>
          <w:lang w:val="en-GB"/>
        </w:rPr>
        <w:t xml:space="preserve">on </w:t>
      </w:r>
      <w:r w:rsidRPr="00E116B6" w:rsidR="00E61358">
        <w:rPr>
          <w:lang w:val="en-GB"/>
        </w:rPr>
        <w:t xml:space="preserve">13 May 2004 he had been beaten with </w:t>
      </w:r>
      <w:r w:rsidRPr="00E116B6" w:rsidR="003720F1">
        <w:rPr>
          <w:lang w:val="en-GB"/>
        </w:rPr>
        <w:t>a square ir</w:t>
      </w:r>
      <w:r w:rsidRPr="00E116B6" w:rsidR="006555F4">
        <w:rPr>
          <w:lang w:val="en-GB"/>
        </w:rPr>
        <w:t xml:space="preserve">on </w:t>
      </w:r>
      <w:r w:rsidRPr="00E116B6" w:rsidR="003720F1">
        <w:rPr>
          <w:lang w:val="en-GB"/>
        </w:rPr>
        <w:t>padlock</w:t>
      </w:r>
      <w:r w:rsidRPr="00E116B6" w:rsidR="00E61358">
        <w:rPr>
          <w:lang w:val="en-GB"/>
        </w:rPr>
        <w:t xml:space="preserve">, which </w:t>
      </w:r>
      <w:r w:rsidRPr="00E116B6" w:rsidR="00776D24">
        <w:rPr>
          <w:lang w:val="en-GB"/>
        </w:rPr>
        <w:t xml:space="preserve">had caused him to </w:t>
      </w:r>
      <w:r w:rsidRPr="00E116B6" w:rsidR="00E61358">
        <w:rPr>
          <w:lang w:val="en-GB"/>
        </w:rPr>
        <w:t>hav</w:t>
      </w:r>
      <w:r w:rsidRPr="00E116B6" w:rsidR="00776D24">
        <w:rPr>
          <w:lang w:val="en-GB"/>
        </w:rPr>
        <w:t>e</w:t>
      </w:r>
      <w:r w:rsidRPr="00E116B6" w:rsidR="00E61358">
        <w:rPr>
          <w:lang w:val="en-GB"/>
        </w:rPr>
        <w:t xml:space="preserve"> seizures</w:t>
      </w:r>
      <w:r w:rsidRPr="00E116B6" w:rsidR="005B0AC0">
        <w:rPr>
          <w:lang w:val="en-GB"/>
        </w:rPr>
        <w:t xml:space="preserve">, and a </w:t>
      </w:r>
      <w:r w:rsidRPr="00E116B6" w:rsidR="00E61358">
        <w:rPr>
          <w:lang w:val="en-GB"/>
        </w:rPr>
        <w:t>doctor had had to be called</w:t>
      </w:r>
      <w:r w:rsidRPr="00E116B6" w:rsidR="005B0AC0">
        <w:rPr>
          <w:lang w:val="en-GB"/>
        </w:rPr>
        <w:t>.</w:t>
      </w:r>
    </w:p>
    <w:bookmarkStart w:name="complaintdate2" w:id="13"/>
    <w:p w:rsidRPr="00E116B6" w:rsidR="00AC1180" w:rsidP="00E116B6" w:rsidRDefault="00FD31A2">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26</w:t>
      </w:r>
      <w:r w:rsidRPr="00E116B6">
        <w:rPr>
          <w:lang w:val="en-GB"/>
        </w:rPr>
        <w:fldChar w:fldCharType="end"/>
      </w:r>
      <w:bookmarkEnd w:id="13"/>
      <w:r w:rsidRPr="00E116B6" w:rsidR="008622E3">
        <w:rPr>
          <w:lang w:val="en-GB"/>
        </w:rPr>
        <w:t>.  </w:t>
      </w:r>
      <w:r w:rsidRPr="00E116B6" w:rsidR="00E61358">
        <w:rPr>
          <w:lang w:val="en-GB"/>
        </w:rPr>
        <w:t>On 17 June 2004 the first applicant</w:t>
      </w:r>
      <w:r w:rsidRPr="00E116B6" w:rsidR="008622E3">
        <w:rPr>
          <w:lang w:val="en-GB"/>
        </w:rPr>
        <w:t xml:space="preserve"> submitted a complaint to the</w:t>
      </w:r>
      <w:r w:rsidRPr="00E116B6" w:rsidR="00E61358">
        <w:rPr>
          <w:lang w:val="en-GB"/>
        </w:rPr>
        <w:t xml:space="preserve"> city prosecutor </w:t>
      </w:r>
      <w:r w:rsidRPr="00E116B6" w:rsidR="008622E3">
        <w:rPr>
          <w:lang w:val="en-GB"/>
        </w:rPr>
        <w:t xml:space="preserve">about threats he had received in </w:t>
      </w:r>
      <w:r w:rsidRPr="00E116B6" w:rsidR="0090796B">
        <w:rPr>
          <w:lang w:val="en-GB"/>
        </w:rPr>
        <w:t>P</w:t>
      </w:r>
      <w:r w:rsidRPr="00E116B6" w:rsidR="008622E3">
        <w:rPr>
          <w:lang w:val="en-GB"/>
        </w:rPr>
        <w:t>ris</w:t>
      </w:r>
      <w:r w:rsidRPr="00E116B6" w:rsidR="006555F4">
        <w:rPr>
          <w:lang w:val="en-GB"/>
        </w:rPr>
        <w:t xml:space="preserve">on </w:t>
      </w:r>
      <w:r w:rsidRPr="00E116B6" w:rsidR="008622E3">
        <w:rPr>
          <w:lang w:val="en-GB"/>
        </w:rPr>
        <w:t>no. 7. Notably, he</w:t>
      </w:r>
      <w:r w:rsidRPr="00E116B6" w:rsidR="00E61358">
        <w:rPr>
          <w:lang w:val="en-GB"/>
        </w:rPr>
        <w:t xml:space="preserve"> had been threatened </w:t>
      </w:r>
      <w:r w:rsidRPr="00E116B6" w:rsidR="008622E3">
        <w:rPr>
          <w:lang w:val="en-GB"/>
        </w:rPr>
        <w:t>by un</w:t>
      </w:r>
      <w:r w:rsidRPr="00E116B6" w:rsidR="0090796B">
        <w:rPr>
          <w:lang w:val="en-GB"/>
        </w:rPr>
        <w:t xml:space="preserve">identified </w:t>
      </w:r>
      <w:r w:rsidRPr="00E116B6" w:rsidR="008622E3">
        <w:rPr>
          <w:lang w:val="en-GB"/>
        </w:rPr>
        <w:t xml:space="preserve">people </w:t>
      </w:r>
      <w:r w:rsidRPr="00E116B6" w:rsidR="00E61358">
        <w:rPr>
          <w:lang w:val="en-GB"/>
        </w:rPr>
        <w:t>that his family would suffer if he did not stand by his confession.</w:t>
      </w:r>
    </w:p>
    <w:bookmarkStart w:name="alibi" w:id="14"/>
    <w:p w:rsidRPr="00E116B6" w:rsidR="00AC1180" w:rsidP="00E116B6" w:rsidRDefault="004C4CF3">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27</w:t>
      </w:r>
      <w:r w:rsidRPr="00E116B6">
        <w:rPr>
          <w:lang w:val="en-GB"/>
        </w:rPr>
        <w:fldChar w:fldCharType="end"/>
      </w:r>
      <w:bookmarkEnd w:id="14"/>
      <w:r w:rsidRPr="00E116B6" w:rsidR="008622E3">
        <w:rPr>
          <w:lang w:val="en-GB"/>
        </w:rPr>
        <w:t>.  </w:t>
      </w:r>
      <w:r w:rsidRPr="00E116B6" w:rsidR="00E61358">
        <w:rPr>
          <w:lang w:val="en-GB"/>
        </w:rPr>
        <w:t>On 22 June 2004 the first applicant submitted a</w:t>
      </w:r>
      <w:r w:rsidRPr="00E116B6" w:rsidR="0090796B">
        <w:rPr>
          <w:lang w:val="en-GB"/>
        </w:rPr>
        <w:t xml:space="preserve">n </w:t>
      </w:r>
      <w:r w:rsidRPr="00E116B6" w:rsidR="00E61358">
        <w:rPr>
          <w:lang w:val="en-GB"/>
        </w:rPr>
        <w:t xml:space="preserve">alibi to the investigator, citing the names of </w:t>
      </w:r>
      <w:r w:rsidRPr="00E116B6" w:rsidR="00417643">
        <w:rPr>
          <w:lang w:val="en-GB"/>
        </w:rPr>
        <w:t xml:space="preserve">six </w:t>
      </w:r>
      <w:r w:rsidRPr="00E116B6" w:rsidR="00E61358">
        <w:rPr>
          <w:lang w:val="en-GB"/>
        </w:rPr>
        <w:t xml:space="preserve">people he had been </w:t>
      </w:r>
      <w:r w:rsidRPr="00E116B6" w:rsidR="0090796B">
        <w:rPr>
          <w:lang w:val="en-GB"/>
        </w:rPr>
        <w:t xml:space="preserve">with </w:t>
      </w:r>
      <w:r w:rsidRPr="00E116B6" w:rsidR="006555F4">
        <w:rPr>
          <w:lang w:val="en-GB"/>
        </w:rPr>
        <w:t xml:space="preserve">on </w:t>
      </w:r>
      <w:r w:rsidRPr="00E116B6" w:rsidR="00E61358">
        <w:rPr>
          <w:lang w:val="en-GB"/>
        </w:rPr>
        <w:t>19</w:t>
      </w:r>
      <w:r w:rsidRPr="00E116B6" w:rsidR="00B370DE">
        <w:rPr>
          <w:lang w:val="en-GB"/>
        </w:rPr>
        <w:t> </w:t>
      </w:r>
      <w:r w:rsidRPr="00E116B6" w:rsidR="00E61358">
        <w:rPr>
          <w:lang w:val="en-GB"/>
        </w:rPr>
        <w:t>January 2004</w:t>
      </w:r>
      <w:r w:rsidRPr="00E116B6" w:rsidR="0090796B">
        <w:rPr>
          <w:lang w:val="en-GB"/>
        </w:rPr>
        <w:t>,</w:t>
      </w:r>
      <w:r w:rsidRPr="00E116B6" w:rsidR="00E61358">
        <w:rPr>
          <w:lang w:val="en-GB"/>
        </w:rPr>
        <w:t xml:space="preserve"> when the member of parliament had been injured. He requested that those people be questioned</w:t>
      </w:r>
      <w:r w:rsidRPr="00E116B6" w:rsidR="00417643">
        <w:rPr>
          <w:lang w:val="en-GB"/>
        </w:rPr>
        <w:t xml:space="preserve"> as witnesses</w:t>
      </w:r>
      <w:r w:rsidRPr="00E116B6" w:rsidR="00E61358">
        <w:rPr>
          <w:lang w:val="en-GB"/>
        </w:rPr>
        <w:t>.</w:t>
      </w:r>
    </w:p>
    <w:bookmarkStart w:name="investreply" w:id="15"/>
    <w:p w:rsidRPr="00E116B6" w:rsidR="008622E3" w:rsidP="00E116B6" w:rsidRDefault="004C4CF3">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28</w:t>
      </w:r>
      <w:r w:rsidRPr="00E116B6">
        <w:rPr>
          <w:lang w:val="en-GB"/>
        </w:rPr>
        <w:fldChar w:fldCharType="end"/>
      </w:r>
      <w:bookmarkEnd w:id="15"/>
      <w:r w:rsidRPr="00E116B6" w:rsidR="008622E3">
        <w:rPr>
          <w:lang w:val="en-GB"/>
        </w:rPr>
        <w:t>.  On 28 June 2004 the investigator rejected the first applicant</w:t>
      </w:r>
      <w:r w:rsidRPr="00E116B6" w:rsidR="00E116B6">
        <w:rPr>
          <w:lang w:val="en-GB"/>
        </w:rPr>
        <w:t>’</w:t>
      </w:r>
      <w:r w:rsidRPr="00E116B6" w:rsidR="008622E3">
        <w:rPr>
          <w:lang w:val="en-GB"/>
        </w:rPr>
        <w:t xml:space="preserve">s request of 22 June 2004 </w:t>
      </w:r>
      <w:r w:rsidRPr="00E116B6" w:rsidR="006555F4">
        <w:rPr>
          <w:lang w:val="en-GB"/>
        </w:rPr>
        <w:t xml:space="preserve">on </w:t>
      </w:r>
      <w:r w:rsidRPr="00E116B6" w:rsidR="008622E3">
        <w:rPr>
          <w:lang w:val="en-GB"/>
        </w:rPr>
        <w:t>the grounds that his guilt had been established by his own</w:t>
      </w:r>
      <w:r w:rsidRPr="00E116B6" w:rsidR="0090796B">
        <w:rPr>
          <w:lang w:val="en-GB"/>
        </w:rPr>
        <w:t>,</w:t>
      </w:r>
      <w:r w:rsidRPr="00E116B6" w:rsidR="008622E3">
        <w:rPr>
          <w:lang w:val="en-GB"/>
        </w:rPr>
        <w:t xml:space="preserve"> very detailed</w:t>
      </w:r>
      <w:r w:rsidRPr="00E116B6" w:rsidR="0090796B">
        <w:rPr>
          <w:lang w:val="en-GB"/>
        </w:rPr>
        <w:t>,</w:t>
      </w:r>
      <w:r w:rsidRPr="00E116B6" w:rsidR="008622E3">
        <w:rPr>
          <w:lang w:val="en-GB"/>
        </w:rPr>
        <w:t xml:space="preserve"> confession, </w:t>
      </w:r>
      <w:r w:rsidRPr="00E116B6" w:rsidR="0090796B">
        <w:rPr>
          <w:lang w:val="en-GB"/>
        </w:rPr>
        <w:t xml:space="preserve">which </w:t>
      </w:r>
      <w:r w:rsidRPr="00E116B6" w:rsidR="00776D24">
        <w:rPr>
          <w:lang w:val="en-GB"/>
        </w:rPr>
        <w:t xml:space="preserve">he </w:t>
      </w:r>
      <w:r w:rsidRPr="00E116B6" w:rsidR="0090796B">
        <w:rPr>
          <w:lang w:val="en-GB"/>
        </w:rPr>
        <w:t xml:space="preserve">had </w:t>
      </w:r>
      <w:r w:rsidRPr="00E116B6" w:rsidR="005B0AC0">
        <w:rPr>
          <w:lang w:val="en-GB"/>
        </w:rPr>
        <w:t>re</w:t>
      </w:r>
      <w:r w:rsidRPr="00E116B6" w:rsidR="0090796B">
        <w:rPr>
          <w:lang w:val="en-GB"/>
        </w:rPr>
        <w:t xml:space="preserve">peated </w:t>
      </w:r>
      <w:r w:rsidRPr="00E116B6" w:rsidR="00776D24">
        <w:rPr>
          <w:lang w:val="en-GB"/>
        </w:rPr>
        <w:t>in the presence of a lawyer</w:t>
      </w:r>
      <w:r w:rsidRPr="00E116B6" w:rsidDel="0090796B" w:rsidR="00776D24">
        <w:rPr>
          <w:lang w:val="en-GB"/>
        </w:rPr>
        <w:t xml:space="preserve"> </w:t>
      </w:r>
      <w:r w:rsidRPr="00E116B6" w:rsidR="00E43A5F">
        <w:rPr>
          <w:lang w:val="en-GB"/>
        </w:rPr>
        <w:t>during the reconstructi</w:t>
      </w:r>
      <w:r w:rsidRPr="00E116B6" w:rsidR="006555F4">
        <w:rPr>
          <w:lang w:val="en-GB"/>
        </w:rPr>
        <w:t xml:space="preserve">on </w:t>
      </w:r>
      <w:r w:rsidRPr="00E116B6" w:rsidR="00E43A5F">
        <w:rPr>
          <w:lang w:val="en-GB"/>
        </w:rPr>
        <w:t>of events</w:t>
      </w:r>
      <w:r w:rsidRPr="00E116B6" w:rsidR="008622E3">
        <w:rPr>
          <w:lang w:val="en-GB"/>
        </w:rPr>
        <w:t xml:space="preserve"> </w:t>
      </w:r>
      <w:r w:rsidRPr="00E116B6" w:rsidR="00776D24">
        <w:rPr>
          <w:lang w:val="en-GB"/>
        </w:rPr>
        <w:t xml:space="preserve">at </w:t>
      </w:r>
      <w:r w:rsidRPr="00E116B6" w:rsidR="008622E3">
        <w:rPr>
          <w:lang w:val="en-GB"/>
        </w:rPr>
        <w:t>the crime</w:t>
      </w:r>
      <w:r w:rsidRPr="00E116B6" w:rsidR="005B0AC0">
        <w:rPr>
          <w:lang w:val="en-GB"/>
        </w:rPr>
        <w:t xml:space="preserve"> </w:t>
      </w:r>
      <w:r w:rsidRPr="00E116B6" w:rsidR="00776D24">
        <w:rPr>
          <w:lang w:val="en-GB"/>
        </w:rPr>
        <w:t>scene</w:t>
      </w:r>
      <w:r w:rsidRPr="00E116B6" w:rsidR="008622E3">
        <w:rPr>
          <w:lang w:val="en-GB"/>
        </w:rPr>
        <w:t xml:space="preserve">. The investigator noted that, in addition, when confronted with the second applicant, the first applicant had accused him of being the instigator of the crime. Furthermore, the first applicant had been identified by the victim. </w:t>
      </w:r>
      <w:r w:rsidRPr="00E116B6" w:rsidR="007859DC">
        <w:rPr>
          <w:lang w:val="en-GB"/>
        </w:rPr>
        <w:t>There was t</w:t>
      </w:r>
      <w:r w:rsidRPr="00E116B6" w:rsidR="008622E3">
        <w:rPr>
          <w:lang w:val="en-GB"/>
        </w:rPr>
        <w:t>herefore</w:t>
      </w:r>
      <w:r w:rsidRPr="00E116B6" w:rsidR="007859DC">
        <w:rPr>
          <w:lang w:val="en-GB"/>
        </w:rPr>
        <w:t xml:space="preserve"> no reas</w:t>
      </w:r>
      <w:r w:rsidRPr="00E116B6" w:rsidR="006555F4">
        <w:rPr>
          <w:lang w:val="en-GB"/>
        </w:rPr>
        <w:t xml:space="preserve">on </w:t>
      </w:r>
      <w:r w:rsidRPr="00E116B6" w:rsidR="007859DC">
        <w:rPr>
          <w:lang w:val="en-GB"/>
        </w:rPr>
        <w:t xml:space="preserve">to check his </w:t>
      </w:r>
      <w:r w:rsidRPr="00E116B6" w:rsidR="008622E3">
        <w:rPr>
          <w:lang w:val="en-GB"/>
        </w:rPr>
        <w:t>alibi</w:t>
      </w:r>
      <w:r w:rsidRPr="00E116B6" w:rsidR="00417643">
        <w:rPr>
          <w:lang w:val="en-GB"/>
        </w:rPr>
        <w:t>.</w:t>
      </w:r>
    </w:p>
    <w:bookmarkStart w:name="investreply1" w:id="16"/>
    <w:p w:rsidRPr="00E116B6" w:rsidR="008622E3" w:rsidP="00E116B6" w:rsidRDefault="004C4CF3">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29</w:t>
      </w:r>
      <w:r w:rsidRPr="00E116B6">
        <w:rPr>
          <w:lang w:val="en-GB"/>
        </w:rPr>
        <w:fldChar w:fldCharType="end"/>
      </w:r>
      <w:bookmarkEnd w:id="16"/>
      <w:r w:rsidRPr="00E116B6" w:rsidR="008622E3">
        <w:rPr>
          <w:lang w:val="en-GB"/>
        </w:rPr>
        <w:t>.  </w:t>
      </w:r>
      <w:r w:rsidRPr="00E116B6" w:rsidR="001A4C80">
        <w:rPr>
          <w:lang w:val="en-GB"/>
        </w:rPr>
        <w:t>On 14 July 2004 the first applicant</w:t>
      </w:r>
      <w:r w:rsidRPr="00E116B6" w:rsidR="00E116B6">
        <w:rPr>
          <w:lang w:val="en-GB"/>
        </w:rPr>
        <w:t>’</w:t>
      </w:r>
      <w:r w:rsidRPr="00E116B6" w:rsidR="001A4C80">
        <w:rPr>
          <w:lang w:val="en-GB"/>
        </w:rPr>
        <w:t xml:space="preserve">s lawyer submitted written statements </w:t>
      </w:r>
      <w:r w:rsidRPr="00E116B6" w:rsidR="00776D24">
        <w:rPr>
          <w:lang w:val="en-GB"/>
        </w:rPr>
        <w:t xml:space="preserve">to the investigator </w:t>
      </w:r>
      <w:r w:rsidRPr="00E116B6" w:rsidR="001A4C80">
        <w:rPr>
          <w:lang w:val="en-GB"/>
        </w:rPr>
        <w:t>from</w:t>
      </w:r>
      <w:r w:rsidRPr="00E116B6" w:rsidR="00417643">
        <w:rPr>
          <w:lang w:val="en-GB"/>
        </w:rPr>
        <w:t xml:space="preserve"> the</w:t>
      </w:r>
      <w:r w:rsidRPr="00E116B6" w:rsidR="001A4C80">
        <w:rPr>
          <w:lang w:val="en-GB"/>
        </w:rPr>
        <w:t xml:space="preserve"> six witnesses concerned</w:t>
      </w:r>
      <w:r w:rsidRPr="00E116B6" w:rsidR="00655E92">
        <w:rPr>
          <w:lang w:val="en-GB"/>
        </w:rPr>
        <w:t> </w:t>
      </w:r>
      <w:r w:rsidRPr="00E116B6" w:rsidR="00417643">
        <w:rPr>
          <w:lang w:val="en-GB"/>
        </w:rPr>
        <w:t>(see paragraph</w:t>
      </w:r>
      <w:r w:rsidRPr="00E116B6" w:rsidR="00655E92">
        <w:rPr>
          <w:lang w:val="en-GB"/>
        </w:rPr>
        <w:t> </w:t>
      </w:r>
      <w:r w:rsidRPr="00E116B6" w:rsidR="00655E92">
        <w:rPr>
          <w:lang w:val="en-GB"/>
        </w:rPr>
        <w:fldChar w:fldCharType="begin"/>
      </w:r>
      <w:r w:rsidRPr="00E116B6" w:rsidR="00655E92">
        <w:rPr>
          <w:lang w:val="en-GB"/>
        </w:rPr>
        <w:instrText xml:space="preserve"> REF alibi \h </w:instrText>
      </w:r>
      <w:r w:rsidRPr="00E116B6" w:rsidR="00655E92">
        <w:rPr>
          <w:lang w:val="en-GB"/>
        </w:rPr>
      </w:r>
      <w:r w:rsidRPr="00E116B6" w:rsidR="00655E92">
        <w:rPr>
          <w:lang w:val="en-GB"/>
        </w:rPr>
        <w:fldChar w:fldCharType="separate"/>
      </w:r>
      <w:r w:rsidRPr="00E116B6" w:rsidR="00E116B6">
        <w:rPr>
          <w:noProof/>
          <w:lang w:val="en-GB"/>
        </w:rPr>
        <w:t>27</w:t>
      </w:r>
      <w:r w:rsidRPr="00E116B6" w:rsidR="00655E92">
        <w:rPr>
          <w:lang w:val="en-GB"/>
        </w:rPr>
        <w:fldChar w:fldCharType="end"/>
      </w:r>
      <w:r w:rsidRPr="00E116B6" w:rsidR="00417643">
        <w:rPr>
          <w:lang w:val="en-GB"/>
        </w:rPr>
        <w:t xml:space="preserve"> above)</w:t>
      </w:r>
      <w:r w:rsidRPr="00E116B6" w:rsidR="001A4C80">
        <w:rPr>
          <w:lang w:val="en-GB"/>
        </w:rPr>
        <w:t>, support</w:t>
      </w:r>
      <w:r w:rsidRPr="00E116B6" w:rsidR="007859DC">
        <w:rPr>
          <w:lang w:val="en-GB"/>
        </w:rPr>
        <w:t xml:space="preserve">ing </w:t>
      </w:r>
      <w:r w:rsidRPr="00E116B6" w:rsidR="001A4C80">
        <w:rPr>
          <w:lang w:val="en-GB"/>
        </w:rPr>
        <w:t xml:space="preserve">the alibi and </w:t>
      </w:r>
      <w:r w:rsidRPr="00E116B6" w:rsidR="007859DC">
        <w:rPr>
          <w:lang w:val="en-GB"/>
        </w:rPr>
        <w:t xml:space="preserve">stating </w:t>
      </w:r>
      <w:r w:rsidRPr="00E116B6" w:rsidR="001A4C80">
        <w:rPr>
          <w:lang w:val="en-GB"/>
        </w:rPr>
        <w:t xml:space="preserve">that </w:t>
      </w:r>
      <w:r w:rsidRPr="00E116B6" w:rsidR="006555F4">
        <w:rPr>
          <w:lang w:val="en-GB"/>
        </w:rPr>
        <w:t xml:space="preserve">on </w:t>
      </w:r>
      <w:r w:rsidRPr="00E116B6" w:rsidR="001A4C80">
        <w:rPr>
          <w:lang w:val="en-GB"/>
        </w:rPr>
        <w:t>19</w:t>
      </w:r>
      <w:r w:rsidRPr="00E116B6" w:rsidR="00B370DE">
        <w:rPr>
          <w:lang w:val="en-GB"/>
        </w:rPr>
        <w:t> </w:t>
      </w:r>
      <w:r w:rsidRPr="00E116B6" w:rsidR="001A4C80">
        <w:rPr>
          <w:lang w:val="en-GB"/>
        </w:rPr>
        <w:t xml:space="preserve">January 2004 the first applicant had been at a </w:t>
      </w:r>
      <w:r w:rsidRPr="00E116B6" w:rsidR="007859DC">
        <w:rPr>
          <w:lang w:val="en-GB"/>
        </w:rPr>
        <w:t xml:space="preserve">church </w:t>
      </w:r>
      <w:r w:rsidRPr="00E116B6" w:rsidR="001A4C80">
        <w:rPr>
          <w:lang w:val="en-GB"/>
        </w:rPr>
        <w:t xml:space="preserve">wedding ceremony </w:t>
      </w:r>
      <w:r w:rsidRPr="00E116B6" w:rsidR="007859DC">
        <w:rPr>
          <w:lang w:val="en-GB"/>
        </w:rPr>
        <w:t xml:space="preserve">and subsequent </w:t>
      </w:r>
      <w:r w:rsidRPr="00E116B6" w:rsidR="001A4C80">
        <w:rPr>
          <w:lang w:val="en-GB"/>
        </w:rPr>
        <w:t>recepti</w:t>
      </w:r>
      <w:r w:rsidRPr="00E116B6" w:rsidR="006555F4">
        <w:rPr>
          <w:lang w:val="en-GB"/>
        </w:rPr>
        <w:t xml:space="preserve">on </w:t>
      </w:r>
      <w:r w:rsidRPr="00E116B6" w:rsidR="001A4C80">
        <w:rPr>
          <w:lang w:val="en-GB"/>
        </w:rPr>
        <w:t xml:space="preserve">until 2 a.m. The lawyer repeated his request for those people to be questioned. </w:t>
      </w:r>
      <w:r w:rsidRPr="00E116B6" w:rsidR="007859DC">
        <w:rPr>
          <w:lang w:val="en-GB"/>
        </w:rPr>
        <w:t>For his part, t</w:t>
      </w:r>
      <w:r w:rsidRPr="00E116B6" w:rsidR="001A4C80">
        <w:rPr>
          <w:lang w:val="en-GB"/>
        </w:rPr>
        <w:t xml:space="preserve">he second applicant </w:t>
      </w:r>
      <w:r w:rsidRPr="00E116B6" w:rsidR="007859DC">
        <w:rPr>
          <w:lang w:val="en-GB"/>
        </w:rPr>
        <w:t xml:space="preserve">stated </w:t>
      </w:r>
      <w:r w:rsidRPr="00E116B6" w:rsidR="001A4C80">
        <w:rPr>
          <w:lang w:val="en-GB"/>
        </w:rPr>
        <w:t>his interest in having the first applicant</w:t>
      </w:r>
      <w:r w:rsidRPr="00E116B6" w:rsidR="00E116B6">
        <w:rPr>
          <w:lang w:val="en-GB"/>
        </w:rPr>
        <w:t>’</w:t>
      </w:r>
      <w:r w:rsidRPr="00E116B6" w:rsidR="001A4C80">
        <w:rPr>
          <w:lang w:val="en-GB"/>
        </w:rPr>
        <w:t>s alibi verified.</w:t>
      </w:r>
      <w:r w:rsidRPr="00E116B6" w:rsidR="005B0AC0">
        <w:rPr>
          <w:lang w:val="en-GB"/>
        </w:rPr>
        <w:t xml:space="preserve"> </w:t>
      </w:r>
      <w:r w:rsidRPr="00E116B6" w:rsidR="001A4C80">
        <w:rPr>
          <w:lang w:val="en-GB"/>
        </w:rPr>
        <w:t>On 24 July 2004 the investigator again rejected th</w:t>
      </w:r>
      <w:r w:rsidRPr="00E116B6" w:rsidR="007859DC">
        <w:rPr>
          <w:lang w:val="en-GB"/>
        </w:rPr>
        <w:t>e</w:t>
      </w:r>
      <w:r w:rsidRPr="00E116B6" w:rsidR="001A4C80">
        <w:rPr>
          <w:lang w:val="en-GB"/>
        </w:rPr>
        <w:t xml:space="preserve"> request</w:t>
      </w:r>
      <w:r w:rsidRPr="00E116B6" w:rsidR="007859DC">
        <w:rPr>
          <w:lang w:val="en-GB"/>
        </w:rPr>
        <w:t xml:space="preserve">, using </w:t>
      </w:r>
      <w:r w:rsidRPr="00E116B6" w:rsidR="001A4C80">
        <w:rPr>
          <w:lang w:val="en-GB"/>
        </w:rPr>
        <w:t xml:space="preserve">the same grounds as </w:t>
      </w:r>
      <w:r w:rsidRPr="00E116B6" w:rsidR="006555F4">
        <w:rPr>
          <w:lang w:val="en-GB"/>
        </w:rPr>
        <w:t xml:space="preserve">on </w:t>
      </w:r>
      <w:r w:rsidRPr="00E116B6" w:rsidR="001A4C80">
        <w:rPr>
          <w:lang w:val="en-GB"/>
        </w:rPr>
        <w:t>28</w:t>
      </w:r>
      <w:r w:rsidRPr="00E116B6" w:rsidR="0000400E">
        <w:rPr>
          <w:lang w:val="en-GB"/>
        </w:rPr>
        <w:t> </w:t>
      </w:r>
      <w:r w:rsidRPr="00E116B6" w:rsidR="001A4C80">
        <w:rPr>
          <w:lang w:val="en-GB"/>
        </w:rPr>
        <w:t>June 2004.</w:t>
      </w:r>
    </w:p>
    <w:p w:rsidRPr="00E116B6" w:rsidR="001A4C80" w:rsidP="00E116B6" w:rsidRDefault="004C4CF3">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30</w:t>
      </w:r>
      <w:r w:rsidRPr="00E116B6">
        <w:rPr>
          <w:lang w:val="en-GB"/>
        </w:rPr>
        <w:fldChar w:fldCharType="end"/>
      </w:r>
      <w:r w:rsidRPr="00E116B6" w:rsidR="001A4C80">
        <w:rPr>
          <w:lang w:val="en-GB"/>
        </w:rPr>
        <w:t xml:space="preserve">.  On 13 July 2004 the second </w:t>
      </w:r>
      <w:r w:rsidRPr="00E116B6" w:rsidR="00417643">
        <w:rPr>
          <w:lang w:val="en-GB"/>
        </w:rPr>
        <w:t xml:space="preserve">applicant </w:t>
      </w:r>
      <w:r w:rsidRPr="00E116B6" w:rsidR="001A4C80">
        <w:rPr>
          <w:lang w:val="en-GB"/>
        </w:rPr>
        <w:t>informed the Chief Public Prosecutor</w:t>
      </w:r>
      <w:r w:rsidRPr="00E116B6" w:rsidR="00E116B6">
        <w:rPr>
          <w:lang w:val="en-GB"/>
        </w:rPr>
        <w:t>’</w:t>
      </w:r>
      <w:r w:rsidRPr="00E116B6" w:rsidR="001A4C80">
        <w:rPr>
          <w:lang w:val="en-GB"/>
        </w:rPr>
        <w:t>s Office</w:t>
      </w:r>
      <w:r w:rsidRPr="00E116B6" w:rsidR="00F27256">
        <w:rPr>
          <w:lang w:val="en-GB"/>
        </w:rPr>
        <w:t xml:space="preserve"> (“the CPPO”)</w:t>
      </w:r>
      <w:r w:rsidRPr="00E116B6" w:rsidR="001A4C80">
        <w:rPr>
          <w:lang w:val="en-GB"/>
        </w:rPr>
        <w:t xml:space="preserve"> </w:t>
      </w:r>
      <w:r w:rsidRPr="00E116B6" w:rsidR="00417643">
        <w:rPr>
          <w:lang w:val="en-GB"/>
        </w:rPr>
        <w:t xml:space="preserve">that </w:t>
      </w:r>
      <w:r w:rsidRPr="00E116B6" w:rsidR="001A4C80">
        <w:rPr>
          <w:lang w:val="en-GB"/>
        </w:rPr>
        <w:t xml:space="preserve">the member of parliament had </w:t>
      </w:r>
      <w:r w:rsidRPr="00E116B6" w:rsidR="00417643">
        <w:rPr>
          <w:lang w:val="en-GB"/>
        </w:rPr>
        <w:t>clandestinely</w:t>
      </w:r>
      <w:r w:rsidRPr="00E116B6" w:rsidR="001A4C80">
        <w:rPr>
          <w:lang w:val="en-GB"/>
        </w:rPr>
        <w:t xml:space="preserve"> visited</w:t>
      </w:r>
      <w:r w:rsidRPr="00E116B6" w:rsidR="00F43F35">
        <w:rPr>
          <w:lang w:val="en-GB"/>
        </w:rPr>
        <w:t xml:space="preserve"> </w:t>
      </w:r>
      <w:r w:rsidRPr="00E116B6" w:rsidR="001A4C80">
        <w:rPr>
          <w:lang w:val="en-GB"/>
        </w:rPr>
        <w:t>the first applicant in pris</w:t>
      </w:r>
      <w:r w:rsidRPr="00E116B6" w:rsidR="006555F4">
        <w:rPr>
          <w:lang w:val="en-GB"/>
        </w:rPr>
        <w:t xml:space="preserve">on </w:t>
      </w:r>
      <w:r w:rsidRPr="00E116B6" w:rsidR="007859DC">
        <w:rPr>
          <w:lang w:val="en-GB"/>
        </w:rPr>
        <w:t xml:space="preserve">at 9 p.m. </w:t>
      </w:r>
      <w:r w:rsidRPr="00E116B6" w:rsidR="006555F4">
        <w:rPr>
          <w:lang w:val="en-GB"/>
        </w:rPr>
        <w:t xml:space="preserve">on </w:t>
      </w:r>
      <w:r w:rsidRPr="00E116B6" w:rsidR="007859DC">
        <w:rPr>
          <w:lang w:val="en-GB"/>
        </w:rPr>
        <w:t xml:space="preserve">25 June 2004 </w:t>
      </w:r>
      <w:r w:rsidRPr="00E116B6" w:rsidR="001A4C80">
        <w:rPr>
          <w:lang w:val="en-GB"/>
        </w:rPr>
        <w:t>to demand that he stand by his confession. In exchange, he had offered him money. The member of parliament</w:t>
      </w:r>
      <w:r w:rsidRPr="00E116B6" w:rsidR="00E116B6">
        <w:rPr>
          <w:lang w:val="en-GB"/>
        </w:rPr>
        <w:t>’</w:t>
      </w:r>
      <w:r w:rsidRPr="00E116B6" w:rsidR="001A4C80">
        <w:rPr>
          <w:lang w:val="en-GB"/>
        </w:rPr>
        <w:t>s visit to the pris</w:t>
      </w:r>
      <w:r w:rsidRPr="00E116B6" w:rsidR="006555F4">
        <w:rPr>
          <w:lang w:val="en-GB"/>
        </w:rPr>
        <w:t xml:space="preserve">on </w:t>
      </w:r>
      <w:r w:rsidRPr="00E116B6" w:rsidR="001A4C80">
        <w:rPr>
          <w:lang w:val="en-GB"/>
        </w:rPr>
        <w:t>had not been officially registered, but could be confirmed by</w:t>
      </w:r>
      <w:r w:rsidRPr="00E116B6" w:rsidR="00F43F35">
        <w:rPr>
          <w:lang w:val="en-GB"/>
        </w:rPr>
        <w:t xml:space="preserve"> pris</w:t>
      </w:r>
      <w:r w:rsidRPr="00E116B6" w:rsidR="006555F4">
        <w:rPr>
          <w:lang w:val="en-GB"/>
        </w:rPr>
        <w:t xml:space="preserve">on </w:t>
      </w:r>
      <w:r w:rsidRPr="00E116B6" w:rsidR="00F43F35">
        <w:rPr>
          <w:lang w:val="en-GB"/>
        </w:rPr>
        <w:t xml:space="preserve">staff. The second applicant also </w:t>
      </w:r>
      <w:r w:rsidRPr="00E116B6" w:rsidR="001A4C80">
        <w:rPr>
          <w:lang w:val="en-GB"/>
        </w:rPr>
        <w:t xml:space="preserve">complained of the fact that the expert medical report </w:t>
      </w:r>
      <w:r w:rsidRPr="00E116B6" w:rsidR="006555F4">
        <w:rPr>
          <w:lang w:val="en-GB"/>
        </w:rPr>
        <w:t xml:space="preserve">on </w:t>
      </w:r>
      <w:r w:rsidRPr="00E116B6" w:rsidR="001A4C80">
        <w:rPr>
          <w:lang w:val="en-GB"/>
        </w:rPr>
        <w:t xml:space="preserve">the first applicant had still not been produced </w:t>
      </w:r>
      <w:r w:rsidRPr="00E116B6" w:rsidR="00C83C00">
        <w:rPr>
          <w:lang w:val="en-GB"/>
        </w:rPr>
        <w:t>and</w:t>
      </w:r>
      <w:r w:rsidRPr="00E116B6" w:rsidR="001A4C80">
        <w:rPr>
          <w:lang w:val="en-GB"/>
        </w:rPr>
        <w:t xml:space="preserve"> that the people who were capable of confirmi</w:t>
      </w:r>
      <w:r w:rsidRPr="00E116B6" w:rsidR="00C83C00">
        <w:rPr>
          <w:lang w:val="en-GB"/>
        </w:rPr>
        <w:t xml:space="preserve">ng his alibi had not been </w:t>
      </w:r>
      <w:r w:rsidRPr="00E116B6" w:rsidR="007859DC">
        <w:rPr>
          <w:lang w:val="en-GB"/>
        </w:rPr>
        <w:t>questioned</w:t>
      </w:r>
      <w:r w:rsidRPr="00E116B6" w:rsidR="00C83C00">
        <w:rPr>
          <w:lang w:val="en-GB"/>
        </w:rPr>
        <w:t>.</w:t>
      </w:r>
    </w:p>
    <w:bookmarkStart w:name="alibi1" w:id="17"/>
    <w:p w:rsidRPr="00E116B6" w:rsidR="00C83C00" w:rsidP="00E116B6" w:rsidRDefault="00AC44B4">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31</w:t>
      </w:r>
      <w:r w:rsidRPr="00E116B6">
        <w:rPr>
          <w:lang w:val="en-GB"/>
        </w:rPr>
        <w:fldChar w:fldCharType="end"/>
      </w:r>
      <w:bookmarkEnd w:id="17"/>
      <w:r w:rsidRPr="00E116B6">
        <w:rPr>
          <w:lang w:val="en-GB"/>
        </w:rPr>
        <w:t>.  Between</w:t>
      </w:r>
      <w:r w:rsidRPr="00E116B6" w:rsidR="00C83C00">
        <w:rPr>
          <w:lang w:val="en-GB"/>
        </w:rPr>
        <w:t xml:space="preserve"> July </w:t>
      </w:r>
      <w:r w:rsidRPr="00E116B6">
        <w:rPr>
          <w:lang w:val="en-GB"/>
        </w:rPr>
        <w:t xml:space="preserve">and August </w:t>
      </w:r>
      <w:r w:rsidRPr="00E116B6" w:rsidR="00C83C00">
        <w:rPr>
          <w:lang w:val="en-GB"/>
        </w:rPr>
        <w:t xml:space="preserve">2004 the second applicant lodged </w:t>
      </w:r>
      <w:r w:rsidRPr="00E116B6">
        <w:rPr>
          <w:lang w:val="en-GB"/>
        </w:rPr>
        <w:t xml:space="preserve">several </w:t>
      </w:r>
      <w:r w:rsidRPr="00E116B6" w:rsidR="00F43F35">
        <w:rPr>
          <w:lang w:val="en-GB"/>
        </w:rPr>
        <w:t xml:space="preserve">more </w:t>
      </w:r>
      <w:r w:rsidRPr="00E116B6" w:rsidR="00C83C00">
        <w:rPr>
          <w:lang w:val="en-GB"/>
        </w:rPr>
        <w:t>complaints with the city prosecutor about the investigator</w:t>
      </w:r>
      <w:r w:rsidRPr="00E116B6" w:rsidR="00E116B6">
        <w:rPr>
          <w:lang w:val="en-GB"/>
        </w:rPr>
        <w:t>’</w:t>
      </w:r>
      <w:r w:rsidRPr="00E116B6" w:rsidR="00C83C00">
        <w:rPr>
          <w:lang w:val="en-GB"/>
        </w:rPr>
        <w:t xml:space="preserve">s repeated refusals to </w:t>
      </w:r>
      <w:r w:rsidRPr="00E116B6" w:rsidR="007859DC">
        <w:rPr>
          <w:lang w:val="en-GB"/>
        </w:rPr>
        <w:t xml:space="preserve">check </w:t>
      </w:r>
      <w:r w:rsidRPr="00E116B6" w:rsidR="00C83C00">
        <w:rPr>
          <w:lang w:val="en-GB"/>
        </w:rPr>
        <w:t>the first applicant</w:t>
      </w:r>
      <w:r w:rsidRPr="00E116B6" w:rsidR="00E116B6">
        <w:rPr>
          <w:lang w:val="en-GB"/>
        </w:rPr>
        <w:t>’</w:t>
      </w:r>
      <w:r w:rsidRPr="00E116B6" w:rsidR="00C83C00">
        <w:rPr>
          <w:lang w:val="en-GB"/>
        </w:rPr>
        <w:t xml:space="preserve">s alibi. The complaints were rejected </w:t>
      </w:r>
      <w:r w:rsidRPr="00E116B6" w:rsidR="006555F4">
        <w:rPr>
          <w:lang w:val="en-GB"/>
        </w:rPr>
        <w:t xml:space="preserve">on </w:t>
      </w:r>
      <w:r w:rsidRPr="00E116B6" w:rsidR="00C83C00">
        <w:rPr>
          <w:lang w:val="en-GB"/>
        </w:rPr>
        <w:t>3 and 7 August</w:t>
      </w:r>
      <w:r w:rsidRPr="00E116B6" w:rsidR="00F43F35">
        <w:rPr>
          <w:lang w:val="en-GB"/>
        </w:rPr>
        <w:t xml:space="preserve">, </w:t>
      </w:r>
      <w:r w:rsidRPr="00E116B6" w:rsidR="00E43A5F">
        <w:rPr>
          <w:lang w:val="en-GB"/>
        </w:rPr>
        <w:t>the city prosecutor considering</w:t>
      </w:r>
      <w:r w:rsidRPr="00E116B6" w:rsidR="00C83C00">
        <w:rPr>
          <w:lang w:val="en-GB"/>
        </w:rPr>
        <w:t xml:space="preserve"> that there was no need to take the first applicant</w:t>
      </w:r>
      <w:r w:rsidRPr="00E116B6" w:rsidR="00E116B6">
        <w:rPr>
          <w:lang w:val="en-GB"/>
        </w:rPr>
        <w:t>’</w:t>
      </w:r>
      <w:r w:rsidRPr="00E116B6" w:rsidR="00C83C00">
        <w:rPr>
          <w:lang w:val="en-GB"/>
        </w:rPr>
        <w:t>s alibi into account, given that he had freely confessed to the crime</w:t>
      </w:r>
      <w:r w:rsidRPr="00E116B6" w:rsidR="006F4E2B">
        <w:rPr>
          <w:lang w:val="en-GB"/>
        </w:rPr>
        <w:t>,</w:t>
      </w:r>
      <w:r w:rsidRPr="00E116B6" w:rsidR="00C83C00">
        <w:rPr>
          <w:lang w:val="en-GB"/>
        </w:rPr>
        <w:t xml:space="preserve"> and that there was no evidence in the record of his interview of 13 May 2004 that he had alleged </w:t>
      </w:r>
      <w:r w:rsidRPr="00E116B6" w:rsidR="007859DC">
        <w:rPr>
          <w:lang w:val="en-GB"/>
        </w:rPr>
        <w:t xml:space="preserve">that he had </w:t>
      </w:r>
      <w:r w:rsidRPr="00E116B6" w:rsidR="00C83C00">
        <w:rPr>
          <w:lang w:val="en-GB"/>
        </w:rPr>
        <w:t>been subjected to ill-treatment.</w:t>
      </w:r>
    </w:p>
    <w:p w:rsidRPr="00E116B6" w:rsidR="00AC1180" w:rsidP="00E116B6" w:rsidRDefault="004C4CF3">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32</w:t>
      </w:r>
      <w:r w:rsidRPr="00E116B6">
        <w:rPr>
          <w:lang w:val="en-GB"/>
        </w:rPr>
        <w:fldChar w:fldCharType="end"/>
      </w:r>
      <w:r w:rsidRPr="00E116B6" w:rsidR="00C83C00">
        <w:rPr>
          <w:lang w:val="en-GB"/>
        </w:rPr>
        <w:t>.  </w:t>
      </w:r>
      <w:r w:rsidRPr="00E116B6" w:rsidR="00C84988">
        <w:rPr>
          <w:lang w:val="en-GB"/>
        </w:rPr>
        <w:t xml:space="preserve">On 2 August 2004 the first applicant submitted a written request </w:t>
      </w:r>
      <w:r w:rsidRPr="00E116B6" w:rsidR="007859DC">
        <w:rPr>
          <w:lang w:val="en-GB"/>
        </w:rPr>
        <w:t xml:space="preserve">to the investigator </w:t>
      </w:r>
      <w:r w:rsidRPr="00E116B6" w:rsidR="00B00C6C">
        <w:rPr>
          <w:lang w:val="en-GB"/>
        </w:rPr>
        <w:t xml:space="preserve">to </w:t>
      </w:r>
      <w:r w:rsidRPr="00E116B6" w:rsidR="00C84988">
        <w:rPr>
          <w:lang w:val="en-GB"/>
        </w:rPr>
        <w:t xml:space="preserve">replace his </w:t>
      </w:r>
      <w:r w:rsidRPr="00E116B6" w:rsidR="00AC44B4">
        <w:rPr>
          <w:lang w:val="en-GB"/>
        </w:rPr>
        <w:t xml:space="preserve">private </w:t>
      </w:r>
      <w:r w:rsidRPr="00E116B6" w:rsidR="00C84988">
        <w:rPr>
          <w:lang w:val="en-GB"/>
        </w:rPr>
        <w:t>lawyer</w:t>
      </w:r>
      <w:r w:rsidRPr="00E116B6" w:rsidR="00AC44B4">
        <w:rPr>
          <w:lang w:val="en-GB"/>
        </w:rPr>
        <w:t xml:space="preserve"> </w:t>
      </w:r>
      <w:r w:rsidRPr="00E116B6" w:rsidR="00C84988">
        <w:rPr>
          <w:lang w:val="en-GB"/>
        </w:rPr>
        <w:t xml:space="preserve">who had been hired by his family and had </w:t>
      </w:r>
      <w:r w:rsidRPr="00E116B6" w:rsidR="00B00C6C">
        <w:rPr>
          <w:lang w:val="en-GB"/>
        </w:rPr>
        <w:t xml:space="preserve">been in charge of </w:t>
      </w:r>
      <w:r w:rsidRPr="00E116B6" w:rsidR="00C84988">
        <w:rPr>
          <w:lang w:val="en-GB"/>
        </w:rPr>
        <w:t xml:space="preserve">his defence since </w:t>
      </w:r>
      <w:r w:rsidRPr="00E116B6" w:rsidR="00E43A5F">
        <w:rPr>
          <w:lang w:val="en-GB"/>
        </w:rPr>
        <w:t>4</w:t>
      </w:r>
      <w:r w:rsidRPr="00E116B6" w:rsidR="00655E92">
        <w:rPr>
          <w:lang w:val="en-GB"/>
        </w:rPr>
        <w:t> </w:t>
      </w:r>
      <w:r w:rsidRPr="00E116B6" w:rsidR="00E43A5F">
        <w:rPr>
          <w:lang w:val="en-GB"/>
        </w:rPr>
        <w:t>June 2004</w:t>
      </w:r>
      <w:r w:rsidRPr="00E116B6" w:rsidR="00655E92">
        <w:rPr>
          <w:lang w:val="en-GB"/>
        </w:rPr>
        <w:t> </w:t>
      </w:r>
      <w:r w:rsidRPr="00E116B6" w:rsidR="00C84988">
        <w:rPr>
          <w:lang w:val="en-GB"/>
        </w:rPr>
        <w:t>(see paragraph</w:t>
      </w:r>
      <w:r w:rsidRPr="00E116B6" w:rsidR="00655E92">
        <w:rPr>
          <w:lang w:val="en-GB"/>
        </w:rPr>
        <w:t> </w:t>
      </w:r>
      <w:r w:rsidRPr="00E116B6" w:rsidR="00C520DE">
        <w:rPr>
          <w:lang w:val="en-GB"/>
        </w:rPr>
        <w:fldChar w:fldCharType="begin"/>
      </w:r>
      <w:r w:rsidRPr="00E116B6" w:rsidR="00C520DE">
        <w:rPr>
          <w:lang w:val="en-GB"/>
        </w:rPr>
        <w:instrText xml:space="preserve"> REF privatelawyer \h </w:instrText>
      </w:r>
      <w:r w:rsidRPr="00E116B6" w:rsidR="00C520DE">
        <w:rPr>
          <w:lang w:val="en-GB"/>
        </w:rPr>
      </w:r>
      <w:r w:rsidRPr="00E116B6" w:rsidR="00C520DE">
        <w:rPr>
          <w:lang w:val="en-GB"/>
        </w:rPr>
        <w:fldChar w:fldCharType="separate"/>
      </w:r>
      <w:r w:rsidRPr="00E116B6" w:rsidR="00E116B6">
        <w:rPr>
          <w:noProof/>
          <w:lang w:val="en-GB"/>
        </w:rPr>
        <w:t>23</w:t>
      </w:r>
      <w:r w:rsidRPr="00E116B6" w:rsidR="00C520DE">
        <w:rPr>
          <w:lang w:val="en-GB"/>
        </w:rPr>
        <w:fldChar w:fldCharType="end"/>
      </w:r>
      <w:r w:rsidRPr="00E116B6" w:rsidR="00C84988">
        <w:rPr>
          <w:lang w:val="en-GB"/>
        </w:rPr>
        <w:t xml:space="preserve"> above), with a new lawyer, Sh.Dz. The applicant added that he wished to be “questioned again with a view to a confession” and “arranging a plea bargain” with the prosecuti</w:t>
      </w:r>
      <w:r w:rsidRPr="00E116B6" w:rsidR="006555F4">
        <w:rPr>
          <w:lang w:val="en-GB"/>
        </w:rPr>
        <w:t xml:space="preserve">on </w:t>
      </w:r>
      <w:r w:rsidRPr="00E116B6" w:rsidR="00C84988">
        <w:rPr>
          <w:lang w:val="en-GB"/>
        </w:rPr>
        <w:t xml:space="preserve">in the presence of this new public </w:t>
      </w:r>
      <w:r w:rsidRPr="00E116B6" w:rsidR="00B00C6C">
        <w:rPr>
          <w:lang w:val="en-GB"/>
        </w:rPr>
        <w:t xml:space="preserve">defence </w:t>
      </w:r>
      <w:r w:rsidRPr="00E116B6" w:rsidR="00C84988">
        <w:rPr>
          <w:lang w:val="en-GB"/>
        </w:rPr>
        <w:t>lawyer.</w:t>
      </w:r>
    </w:p>
    <w:p w:rsidRPr="00E116B6" w:rsidR="00C83C00" w:rsidP="00E116B6" w:rsidRDefault="004C4CF3">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33</w:t>
      </w:r>
      <w:r w:rsidRPr="00E116B6">
        <w:rPr>
          <w:lang w:val="en-GB"/>
        </w:rPr>
        <w:fldChar w:fldCharType="end"/>
      </w:r>
      <w:r w:rsidRPr="00E116B6" w:rsidR="00E43A5F">
        <w:rPr>
          <w:lang w:val="en-GB"/>
        </w:rPr>
        <w:t>.  </w:t>
      </w:r>
      <w:r w:rsidRPr="00E116B6" w:rsidR="00C84988">
        <w:rPr>
          <w:lang w:val="en-GB"/>
        </w:rPr>
        <w:t xml:space="preserve">On 5 August 2004 </w:t>
      </w:r>
      <w:r w:rsidRPr="00E116B6" w:rsidR="00E43A5F">
        <w:rPr>
          <w:lang w:val="en-GB"/>
        </w:rPr>
        <w:t xml:space="preserve">the </w:t>
      </w:r>
      <w:r w:rsidRPr="00E116B6" w:rsidR="000B4457">
        <w:rPr>
          <w:lang w:val="en-GB"/>
        </w:rPr>
        <w:t xml:space="preserve">investigator and the </w:t>
      </w:r>
      <w:r w:rsidRPr="00E116B6" w:rsidR="00E43A5F">
        <w:rPr>
          <w:lang w:val="en-GB"/>
        </w:rPr>
        <w:t xml:space="preserve">newly appointed lawyer </w:t>
      </w:r>
      <w:r w:rsidRPr="00E116B6" w:rsidR="00C84988">
        <w:rPr>
          <w:lang w:val="en-GB"/>
        </w:rPr>
        <w:t>Sh.Dz. went to the pris</w:t>
      </w:r>
      <w:r w:rsidRPr="00E116B6" w:rsidR="006555F4">
        <w:rPr>
          <w:lang w:val="en-GB"/>
        </w:rPr>
        <w:t xml:space="preserve">on </w:t>
      </w:r>
      <w:r w:rsidRPr="00E116B6" w:rsidR="00C84988">
        <w:rPr>
          <w:lang w:val="en-GB"/>
        </w:rPr>
        <w:t>hospital to attend the questioning of the first applicant</w:t>
      </w:r>
      <w:r w:rsidRPr="00E116B6" w:rsidR="007859DC">
        <w:rPr>
          <w:lang w:val="en-GB"/>
        </w:rPr>
        <w:t>,</w:t>
      </w:r>
      <w:r w:rsidRPr="00E116B6" w:rsidR="00C84988">
        <w:rPr>
          <w:lang w:val="en-GB"/>
        </w:rPr>
        <w:t xml:space="preserve"> as </w:t>
      </w:r>
      <w:r w:rsidRPr="00E116B6" w:rsidR="007859DC">
        <w:rPr>
          <w:lang w:val="en-GB"/>
        </w:rPr>
        <w:t xml:space="preserve">he had </w:t>
      </w:r>
      <w:r w:rsidRPr="00E116B6" w:rsidR="00C84988">
        <w:rPr>
          <w:lang w:val="en-GB"/>
        </w:rPr>
        <w:t xml:space="preserve">requested </w:t>
      </w:r>
      <w:r w:rsidRPr="00E116B6" w:rsidR="006555F4">
        <w:rPr>
          <w:lang w:val="en-GB"/>
        </w:rPr>
        <w:t xml:space="preserve">on </w:t>
      </w:r>
      <w:r w:rsidRPr="00E116B6" w:rsidR="00C84988">
        <w:rPr>
          <w:lang w:val="en-GB"/>
        </w:rPr>
        <w:t>2 August 2004. The applicant, however, refused to be questioned</w:t>
      </w:r>
      <w:r w:rsidRPr="00E116B6" w:rsidR="007859DC">
        <w:rPr>
          <w:lang w:val="en-GB"/>
        </w:rPr>
        <w:t>,</w:t>
      </w:r>
      <w:r w:rsidRPr="00E116B6" w:rsidR="00C84988">
        <w:rPr>
          <w:lang w:val="en-GB"/>
        </w:rPr>
        <w:t xml:space="preserve"> without providing any explanation.</w:t>
      </w:r>
    </w:p>
    <w:p w:rsidRPr="00E116B6" w:rsidR="00AC1180" w:rsidP="00E116B6" w:rsidRDefault="004C4CF3">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34</w:t>
      </w:r>
      <w:r w:rsidRPr="00E116B6">
        <w:rPr>
          <w:lang w:val="en-GB"/>
        </w:rPr>
        <w:fldChar w:fldCharType="end"/>
      </w:r>
      <w:r w:rsidRPr="00E116B6" w:rsidR="00C84988">
        <w:rPr>
          <w:lang w:val="en-GB"/>
        </w:rPr>
        <w:t>.  </w:t>
      </w:r>
      <w:r w:rsidRPr="00E116B6" w:rsidR="004F3D2F">
        <w:rPr>
          <w:lang w:val="en-GB"/>
        </w:rPr>
        <w:t>On 11 August 2004 the T</w:t>
      </w:r>
      <w:r w:rsidRPr="00E116B6" w:rsidR="00C84988">
        <w:rPr>
          <w:lang w:val="en-GB"/>
        </w:rPr>
        <w:t xml:space="preserve">bilisi Regional Court </w:t>
      </w:r>
      <w:r w:rsidRPr="00E116B6" w:rsidR="006F4E2B">
        <w:rPr>
          <w:lang w:val="en-GB"/>
        </w:rPr>
        <w:t xml:space="preserve">granted </w:t>
      </w:r>
      <w:r w:rsidRPr="00E116B6" w:rsidR="007E3C98">
        <w:rPr>
          <w:lang w:val="en-GB"/>
        </w:rPr>
        <w:t>an applicati</w:t>
      </w:r>
      <w:r w:rsidRPr="00E116B6" w:rsidR="006555F4">
        <w:rPr>
          <w:lang w:val="en-GB"/>
        </w:rPr>
        <w:t xml:space="preserve">on </w:t>
      </w:r>
      <w:r w:rsidRPr="00E116B6" w:rsidR="007E3C98">
        <w:rPr>
          <w:lang w:val="en-GB"/>
        </w:rPr>
        <w:t>by the prosecutor to extend the applicants</w:t>
      </w:r>
      <w:r w:rsidRPr="00E116B6" w:rsidR="00E116B6">
        <w:rPr>
          <w:lang w:val="en-GB"/>
        </w:rPr>
        <w:t>’</w:t>
      </w:r>
      <w:r w:rsidRPr="00E116B6" w:rsidR="007E3C98">
        <w:rPr>
          <w:lang w:val="en-GB"/>
        </w:rPr>
        <w:t xml:space="preserve"> pre-trial detenti</w:t>
      </w:r>
      <w:r w:rsidRPr="00E116B6" w:rsidR="006555F4">
        <w:rPr>
          <w:lang w:val="en-GB"/>
        </w:rPr>
        <w:t xml:space="preserve">on </w:t>
      </w:r>
      <w:r w:rsidRPr="00E116B6" w:rsidR="00DF43F4">
        <w:rPr>
          <w:lang w:val="en-GB"/>
        </w:rPr>
        <w:t xml:space="preserve">to </w:t>
      </w:r>
      <w:r w:rsidRPr="00E116B6" w:rsidR="007E3C98">
        <w:rPr>
          <w:lang w:val="en-GB"/>
        </w:rPr>
        <w:t>13</w:t>
      </w:r>
      <w:r w:rsidRPr="00E116B6" w:rsidR="00055BAB">
        <w:rPr>
          <w:lang w:val="en-GB"/>
        </w:rPr>
        <w:t> </w:t>
      </w:r>
      <w:r w:rsidRPr="00E116B6" w:rsidR="007E3C98">
        <w:rPr>
          <w:lang w:val="en-GB"/>
        </w:rPr>
        <w:t>November 2004.</w:t>
      </w:r>
    </w:p>
    <w:bookmarkStart w:name="medreport1" w:id="18"/>
    <w:p w:rsidRPr="00E116B6" w:rsidR="00AC1180" w:rsidP="00E116B6" w:rsidRDefault="004C4CF3">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35</w:t>
      </w:r>
      <w:r w:rsidRPr="00E116B6">
        <w:rPr>
          <w:lang w:val="en-GB"/>
        </w:rPr>
        <w:fldChar w:fldCharType="end"/>
      </w:r>
      <w:bookmarkEnd w:id="18"/>
      <w:r w:rsidRPr="00E116B6" w:rsidR="00E43A5F">
        <w:rPr>
          <w:lang w:val="en-GB"/>
        </w:rPr>
        <w:t>.  </w:t>
      </w:r>
      <w:r w:rsidRPr="00E116B6" w:rsidR="00AA2154">
        <w:rPr>
          <w:lang w:val="en-GB"/>
        </w:rPr>
        <w:t xml:space="preserve">On 13 September 2004 an expert from the Ministry of Health commissioned by the investigator </w:t>
      </w:r>
      <w:r w:rsidRPr="00E116B6" w:rsidR="006555F4">
        <w:rPr>
          <w:lang w:val="en-GB"/>
        </w:rPr>
        <w:t xml:space="preserve">on </w:t>
      </w:r>
      <w:r w:rsidRPr="00E116B6" w:rsidR="00AA2154">
        <w:rPr>
          <w:lang w:val="en-GB"/>
        </w:rPr>
        <w:t xml:space="preserve">24 June 2004 </w:t>
      </w:r>
      <w:r w:rsidRPr="00E116B6" w:rsidR="00F43F35">
        <w:rPr>
          <w:lang w:val="en-GB"/>
        </w:rPr>
        <w:t>(see paragraph</w:t>
      </w:r>
      <w:r w:rsidRPr="00E116B6" w:rsidR="001A0454">
        <w:rPr>
          <w:lang w:val="en-GB"/>
        </w:rPr>
        <w:t xml:space="preserve"> </w:t>
      </w:r>
      <w:r w:rsidRPr="00E116B6" w:rsidR="001A0454">
        <w:rPr>
          <w:lang w:val="en-GB"/>
        </w:rPr>
        <w:fldChar w:fldCharType="begin"/>
      </w:r>
      <w:r w:rsidRPr="00E116B6" w:rsidR="001A0454">
        <w:rPr>
          <w:lang w:val="en-GB"/>
        </w:rPr>
        <w:instrText xml:space="preserve"> REF ordermedrep \h </w:instrText>
      </w:r>
      <w:r w:rsidRPr="00E116B6" w:rsidR="001A0454">
        <w:rPr>
          <w:lang w:val="en-GB"/>
        </w:rPr>
      </w:r>
      <w:r w:rsidRPr="00E116B6" w:rsidR="001A0454">
        <w:rPr>
          <w:lang w:val="en-GB"/>
        </w:rPr>
        <w:fldChar w:fldCharType="separate"/>
      </w:r>
      <w:r w:rsidRPr="00E116B6" w:rsidR="00E116B6">
        <w:rPr>
          <w:noProof/>
          <w:lang w:val="en-GB"/>
        </w:rPr>
        <w:t>24</w:t>
      </w:r>
      <w:r w:rsidRPr="00E116B6" w:rsidR="001A0454">
        <w:rPr>
          <w:lang w:val="en-GB"/>
        </w:rPr>
        <w:fldChar w:fldCharType="end"/>
      </w:r>
      <w:r w:rsidRPr="00E116B6" w:rsidR="00F43F35">
        <w:rPr>
          <w:lang w:val="en-GB"/>
        </w:rPr>
        <w:t xml:space="preserve"> above) </w:t>
      </w:r>
      <w:r w:rsidRPr="00E116B6" w:rsidR="00AA2154">
        <w:rPr>
          <w:lang w:val="en-GB"/>
        </w:rPr>
        <w:t xml:space="preserve">issued a report </w:t>
      </w:r>
      <w:r w:rsidRPr="00E116B6" w:rsidR="006555F4">
        <w:rPr>
          <w:lang w:val="en-GB"/>
        </w:rPr>
        <w:t xml:space="preserve">on </w:t>
      </w:r>
      <w:r w:rsidRPr="00E116B6" w:rsidR="00AA2154">
        <w:rPr>
          <w:lang w:val="en-GB"/>
        </w:rPr>
        <w:t>the applicant</w:t>
      </w:r>
      <w:r w:rsidRPr="00E116B6" w:rsidR="00E116B6">
        <w:rPr>
          <w:lang w:val="en-GB"/>
        </w:rPr>
        <w:t>’</w:t>
      </w:r>
      <w:r w:rsidRPr="00E116B6" w:rsidR="00AA2154">
        <w:rPr>
          <w:lang w:val="en-GB"/>
        </w:rPr>
        <w:t xml:space="preserve">s </w:t>
      </w:r>
      <w:r w:rsidRPr="00E116B6" w:rsidR="00B00C6C">
        <w:rPr>
          <w:lang w:val="en-GB"/>
        </w:rPr>
        <w:t>physical condition</w:t>
      </w:r>
      <w:r w:rsidRPr="00E116B6" w:rsidR="00AA2154">
        <w:rPr>
          <w:lang w:val="en-GB"/>
        </w:rPr>
        <w:t>. It appeared that the expert had not examined the applicant in pers</w:t>
      </w:r>
      <w:r w:rsidRPr="00E116B6" w:rsidR="006555F4">
        <w:rPr>
          <w:lang w:val="en-GB"/>
        </w:rPr>
        <w:t xml:space="preserve">on </w:t>
      </w:r>
      <w:r w:rsidRPr="00E116B6" w:rsidR="00AA2154">
        <w:rPr>
          <w:lang w:val="en-GB"/>
        </w:rPr>
        <w:t xml:space="preserve">but had asked the investigator to provide him with X-rays of </w:t>
      </w:r>
      <w:r w:rsidRPr="00E116B6" w:rsidR="000B4457">
        <w:rPr>
          <w:lang w:val="en-GB"/>
        </w:rPr>
        <w:t xml:space="preserve">his </w:t>
      </w:r>
      <w:r w:rsidRPr="00E116B6" w:rsidR="00AA2154">
        <w:rPr>
          <w:lang w:val="en-GB"/>
        </w:rPr>
        <w:t xml:space="preserve">head and body. Two X-rays had been sent by the investigator to the expert as late as 8 September 2004. Notably, an X-ray of </w:t>
      </w:r>
      <w:r w:rsidRPr="00E116B6" w:rsidR="000B4457">
        <w:rPr>
          <w:lang w:val="en-GB"/>
        </w:rPr>
        <w:t xml:space="preserve">his </w:t>
      </w:r>
      <w:r w:rsidRPr="00E116B6" w:rsidR="00AA2154">
        <w:rPr>
          <w:lang w:val="en-GB"/>
        </w:rPr>
        <w:t xml:space="preserve">head, taken </w:t>
      </w:r>
      <w:r w:rsidRPr="00E116B6" w:rsidR="00B00C6C">
        <w:rPr>
          <w:lang w:val="en-GB"/>
        </w:rPr>
        <w:t xml:space="preserve">only </w:t>
      </w:r>
      <w:r w:rsidRPr="00E116B6" w:rsidR="00AA2154">
        <w:rPr>
          <w:lang w:val="en-GB"/>
        </w:rPr>
        <w:t xml:space="preserve">from one side, and an X-ray of </w:t>
      </w:r>
      <w:r w:rsidRPr="00E116B6" w:rsidR="00B00C6C">
        <w:rPr>
          <w:lang w:val="en-GB"/>
        </w:rPr>
        <w:t xml:space="preserve">his </w:t>
      </w:r>
      <w:r w:rsidRPr="00E116B6" w:rsidR="00AA2154">
        <w:rPr>
          <w:lang w:val="en-GB"/>
        </w:rPr>
        <w:t xml:space="preserve">thorax showed that at that time he </w:t>
      </w:r>
      <w:r w:rsidRPr="00E116B6" w:rsidR="000B4457">
        <w:rPr>
          <w:lang w:val="en-GB"/>
        </w:rPr>
        <w:t xml:space="preserve">bore no </w:t>
      </w:r>
      <w:r w:rsidRPr="00E116B6" w:rsidR="00AA2154">
        <w:rPr>
          <w:lang w:val="en-GB"/>
        </w:rPr>
        <w:t xml:space="preserve">signs of lesions </w:t>
      </w:r>
      <w:r w:rsidRPr="00E116B6" w:rsidR="006555F4">
        <w:rPr>
          <w:lang w:val="en-GB"/>
        </w:rPr>
        <w:t xml:space="preserve">on </w:t>
      </w:r>
      <w:r w:rsidRPr="00E116B6" w:rsidR="00AA2154">
        <w:rPr>
          <w:lang w:val="en-GB"/>
        </w:rPr>
        <w:t>those parts of the body.</w:t>
      </w:r>
    </w:p>
    <w:bookmarkStart w:name="victimsbribe" w:id="19"/>
    <w:p w:rsidRPr="00E116B6" w:rsidR="00AA2154" w:rsidP="00E116B6" w:rsidRDefault="00FD31A2">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36</w:t>
      </w:r>
      <w:r w:rsidRPr="00E116B6">
        <w:rPr>
          <w:lang w:val="en-GB"/>
        </w:rPr>
        <w:fldChar w:fldCharType="end"/>
      </w:r>
      <w:bookmarkEnd w:id="19"/>
      <w:r w:rsidRPr="00E116B6" w:rsidR="00E43A5F">
        <w:rPr>
          <w:lang w:val="en-GB"/>
        </w:rPr>
        <w:t>.  </w:t>
      </w:r>
      <w:r w:rsidRPr="00E116B6" w:rsidR="00AA2154">
        <w:rPr>
          <w:lang w:val="en-GB"/>
        </w:rPr>
        <w:t>On 27 September 2004 the second applicant</w:t>
      </w:r>
      <w:r w:rsidRPr="00E116B6" w:rsidR="00E116B6">
        <w:rPr>
          <w:lang w:val="en-GB"/>
        </w:rPr>
        <w:t>’</w:t>
      </w:r>
      <w:r w:rsidRPr="00E116B6" w:rsidR="00AA2154">
        <w:rPr>
          <w:lang w:val="en-GB"/>
        </w:rPr>
        <w:t xml:space="preserve">s mother lodged a criminal complaint with the </w:t>
      </w:r>
      <w:r w:rsidRPr="00E116B6" w:rsidR="00F27256">
        <w:rPr>
          <w:lang w:val="en-GB"/>
        </w:rPr>
        <w:t>CPPO</w:t>
      </w:r>
      <w:r w:rsidRPr="00E116B6" w:rsidR="000B4457">
        <w:rPr>
          <w:lang w:val="en-GB"/>
        </w:rPr>
        <w:t>,</w:t>
      </w:r>
      <w:r w:rsidRPr="00E116B6" w:rsidR="00AA2154">
        <w:rPr>
          <w:lang w:val="en-GB"/>
        </w:rPr>
        <w:t xml:space="preserve"> alleging that the member of parliament had visited the first applicant in pris</w:t>
      </w:r>
      <w:r w:rsidRPr="00E116B6" w:rsidR="006555F4">
        <w:rPr>
          <w:lang w:val="en-GB"/>
        </w:rPr>
        <w:t xml:space="preserve">on </w:t>
      </w:r>
      <w:r w:rsidRPr="00E116B6" w:rsidR="00182632">
        <w:rPr>
          <w:lang w:val="en-GB"/>
        </w:rPr>
        <w:t xml:space="preserve">in July 2004 </w:t>
      </w:r>
      <w:r w:rsidRPr="00E116B6" w:rsidR="00AA2154">
        <w:rPr>
          <w:lang w:val="en-GB"/>
        </w:rPr>
        <w:t xml:space="preserve">and </w:t>
      </w:r>
      <w:r w:rsidRPr="00E116B6" w:rsidR="000B4457">
        <w:rPr>
          <w:lang w:val="en-GB"/>
        </w:rPr>
        <w:t xml:space="preserve">had </w:t>
      </w:r>
      <w:r w:rsidRPr="00E116B6" w:rsidR="00AA2154">
        <w:rPr>
          <w:lang w:val="en-GB"/>
        </w:rPr>
        <w:t>offered him 30,000</w:t>
      </w:r>
      <w:r w:rsidRPr="00E116B6" w:rsidR="00B370DE">
        <w:rPr>
          <w:lang w:val="en-GB"/>
        </w:rPr>
        <w:t> </w:t>
      </w:r>
      <w:r w:rsidRPr="00E116B6" w:rsidR="000B4457">
        <w:rPr>
          <w:lang w:val="en-GB"/>
        </w:rPr>
        <w:t>Georgian lari (GEL)</w:t>
      </w:r>
      <w:r w:rsidRPr="00E116B6" w:rsidR="00924E1B">
        <w:rPr>
          <w:lang w:val="en-GB"/>
        </w:rPr>
        <w:t xml:space="preserve"> (approximately 13,000 euros (EUR))</w:t>
      </w:r>
      <w:r w:rsidRPr="00E116B6" w:rsidR="000B4457">
        <w:rPr>
          <w:lang w:val="en-GB"/>
        </w:rPr>
        <w:t xml:space="preserve"> </w:t>
      </w:r>
      <w:r w:rsidRPr="00E116B6" w:rsidR="00AA2154">
        <w:rPr>
          <w:lang w:val="en-GB"/>
        </w:rPr>
        <w:t xml:space="preserve">to stand by his confession. The investigator had then put pressure </w:t>
      </w:r>
      <w:r w:rsidRPr="00E116B6" w:rsidR="006555F4">
        <w:rPr>
          <w:lang w:val="en-GB"/>
        </w:rPr>
        <w:t xml:space="preserve">on </w:t>
      </w:r>
      <w:r w:rsidRPr="00E116B6" w:rsidR="00AA2154">
        <w:rPr>
          <w:lang w:val="en-GB"/>
        </w:rPr>
        <w:t>the first applicant</w:t>
      </w:r>
      <w:r w:rsidRPr="00E116B6" w:rsidR="00E116B6">
        <w:rPr>
          <w:lang w:val="en-GB"/>
        </w:rPr>
        <w:t>’</w:t>
      </w:r>
      <w:r w:rsidRPr="00E116B6" w:rsidR="00AA2154">
        <w:rPr>
          <w:lang w:val="en-GB"/>
        </w:rPr>
        <w:t>s wife to convince her husband to accept the offer. She further alleged that</w:t>
      </w:r>
      <w:r w:rsidRPr="00E116B6" w:rsidR="000B4457">
        <w:rPr>
          <w:lang w:val="en-GB"/>
        </w:rPr>
        <w:t xml:space="preserve"> after </w:t>
      </w:r>
      <w:r w:rsidRPr="00E116B6" w:rsidR="00AA2154">
        <w:rPr>
          <w:lang w:val="en-GB"/>
        </w:rPr>
        <w:t>the member of parliament</w:t>
      </w:r>
      <w:r w:rsidRPr="00E116B6" w:rsidR="00E116B6">
        <w:rPr>
          <w:lang w:val="en-GB"/>
        </w:rPr>
        <w:t>’</w:t>
      </w:r>
      <w:r w:rsidRPr="00E116B6" w:rsidR="000B4457">
        <w:rPr>
          <w:lang w:val="en-GB"/>
        </w:rPr>
        <w:t>s visit</w:t>
      </w:r>
      <w:r w:rsidRPr="00E116B6" w:rsidR="00AA2154">
        <w:rPr>
          <w:lang w:val="en-GB"/>
        </w:rPr>
        <w:t xml:space="preserve">, </w:t>
      </w:r>
      <w:r w:rsidRPr="00E116B6" w:rsidR="00A07CD2">
        <w:rPr>
          <w:lang w:val="en-GB"/>
        </w:rPr>
        <w:t>criminal bosses</w:t>
      </w:r>
      <w:r w:rsidRPr="00E116B6" w:rsidR="00AA2154">
        <w:rPr>
          <w:lang w:val="en-GB"/>
        </w:rPr>
        <w:t xml:space="preserve"> had been allowed to enter the applicant</w:t>
      </w:r>
      <w:r w:rsidRPr="00E116B6" w:rsidR="00E116B6">
        <w:rPr>
          <w:lang w:val="en-GB"/>
        </w:rPr>
        <w:t>’</w:t>
      </w:r>
      <w:r w:rsidRPr="00E116B6" w:rsidR="00AA2154">
        <w:rPr>
          <w:lang w:val="en-GB"/>
        </w:rPr>
        <w:t>s cell</w:t>
      </w:r>
      <w:r w:rsidRPr="00E116B6" w:rsidR="00182632">
        <w:rPr>
          <w:lang w:val="en-GB"/>
        </w:rPr>
        <w:t xml:space="preserve"> </w:t>
      </w:r>
      <w:r w:rsidRPr="00E116B6" w:rsidR="006555F4">
        <w:rPr>
          <w:lang w:val="en-GB"/>
        </w:rPr>
        <w:t xml:space="preserve">on </w:t>
      </w:r>
      <w:r w:rsidRPr="00E116B6" w:rsidR="00182632">
        <w:rPr>
          <w:lang w:val="en-GB"/>
        </w:rPr>
        <w:t>2 August 2004</w:t>
      </w:r>
      <w:r w:rsidRPr="00E116B6" w:rsidR="00AA2154">
        <w:rPr>
          <w:lang w:val="en-GB"/>
        </w:rPr>
        <w:t xml:space="preserve"> in order to pressur</w:t>
      </w:r>
      <w:r w:rsidRPr="00E116B6" w:rsidR="000B4457">
        <w:rPr>
          <w:lang w:val="en-GB"/>
        </w:rPr>
        <w:t>e</w:t>
      </w:r>
      <w:r w:rsidRPr="00E116B6" w:rsidR="00AA2154">
        <w:rPr>
          <w:lang w:val="en-GB"/>
        </w:rPr>
        <w:t xml:space="preserve"> him to testify </w:t>
      </w:r>
      <w:r w:rsidRPr="00E116B6" w:rsidR="000B4457">
        <w:rPr>
          <w:lang w:val="en-GB"/>
        </w:rPr>
        <w:t xml:space="preserve">as </w:t>
      </w:r>
      <w:r w:rsidRPr="00E116B6" w:rsidR="00AA2154">
        <w:rPr>
          <w:lang w:val="en-GB"/>
        </w:rPr>
        <w:t>the member of parliament wishe</w:t>
      </w:r>
      <w:r w:rsidRPr="00E116B6" w:rsidR="000B4457">
        <w:rPr>
          <w:lang w:val="en-GB"/>
        </w:rPr>
        <w:t>d</w:t>
      </w:r>
      <w:r w:rsidRPr="00E116B6" w:rsidR="00AA2154">
        <w:rPr>
          <w:lang w:val="en-GB"/>
        </w:rPr>
        <w:t>.</w:t>
      </w:r>
    </w:p>
    <w:bookmarkStart w:name="downpayment" w:id="20"/>
    <w:p w:rsidRPr="00E116B6" w:rsidR="00AC1180" w:rsidP="00E116B6" w:rsidRDefault="00FD31A2">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37</w:t>
      </w:r>
      <w:r w:rsidRPr="00E116B6">
        <w:rPr>
          <w:lang w:val="en-GB"/>
        </w:rPr>
        <w:fldChar w:fldCharType="end"/>
      </w:r>
      <w:bookmarkEnd w:id="20"/>
      <w:r w:rsidRPr="00E116B6" w:rsidR="00AA2154">
        <w:rPr>
          <w:lang w:val="en-GB"/>
        </w:rPr>
        <w:t xml:space="preserve">.  On the same day, 27 September 2004, </w:t>
      </w:r>
      <w:r w:rsidRPr="00E116B6" w:rsidR="00601492">
        <w:rPr>
          <w:lang w:val="en-GB"/>
        </w:rPr>
        <w:t>the first applicant</w:t>
      </w:r>
      <w:r w:rsidRPr="00E116B6" w:rsidR="00E116B6">
        <w:rPr>
          <w:lang w:val="en-GB"/>
        </w:rPr>
        <w:t>’</w:t>
      </w:r>
      <w:r w:rsidRPr="00E116B6" w:rsidR="00601492">
        <w:rPr>
          <w:lang w:val="en-GB"/>
        </w:rPr>
        <w:t xml:space="preserve">s wife lodged </w:t>
      </w:r>
      <w:r w:rsidRPr="00E116B6" w:rsidR="00B00C6C">
        <w:rPr>
          <w:lang w:val="en-GB"/>
        </w:rPr>
        <w:t xml:space="preserve">the same </w:t>
      </w:r>
      <w:r w:rsidRPr="00E116B6" w:rsidR="00601492">
        <w:rPr>
          <w:lang w:val="en-GB"/>
        </w:rPr>
        <w:t xml:space="preserve">complaint </w:t>
      </w:r>
      <w:r w:rsidRPr="00E116B6" w:rsidR="00B00C6C">
        <w:rPr>
          <w:lang w:val="en-GB"/>
        </w:rPr>
        <w:t>as the second applicant</w:t>
      </w:r>
      <w:r w:rsidRPr="00E116B6" w:rsidR="00E116B6">
        <w:rPr>
          <w:lang w:val="en-GB"/>
        </w:rPr>
        <w:t>’</w:t>
      </w:r>
      <w:r w:rsidRPr="00E116B6" w:rsidR="00B00C6C">
        <w:rPr>
          <w:lang w:val="en-GB"/>
        </w:rPr>
        <w:t xml:space="preserve">s mother </w:t>
      </w:r>
      <w:r w:rsidRPr="00E116B6" w:rsidR="00601492">
        <w:rPr>
          <w:lang w:val="en-GB"/>
        </w:rPr>
        <w:t>with the C</w:t>
      </w:r>
      <w:r w:rsidRPr="00E116B6" w:rsidR="00F27256">
        <w:rPr>
          <w:lang w:val="en-GB"/>
        </w:rPr>
        <w:t>PPO</w:t>
      </w:r>
      <w:r w:rsidRPr="00E116B6" w:rsidR="00601492">
        <w:rPr>
          <w:lang w:val="en-GB"/>
        </w:rPr>
        <w:t>. She added that in exchange for the money offered by the member of parliament, her husband had been expected to dismiss the private lawyer hired by his family, stand by his confessi</w:t>
      </w:r>
      <w:r w:rsidRPr="00E116B6" w:rsidR="006555F4">
        <w:rPr>
          <w:lang w:val="en-GB"/>
        </w:rPr>
        <w:t xml:space="preserve">on </w:t>
      </w:r>
      <w:r w:rsidRPr="00E116B6" w:rsidR="00601492">
        <w:rPr>
          <w:lang w:val="en-GB"/>
        </w:rPr>
        <w:t xml:space="preserve">and </w:t>
      </w:r>
      <w:r w:rsidRPr="00E116B6" w:rsidR="000B4457">
        <w:rPr>
          <w:lang w:val="en-GB"/>
        </w:rPr>
        <w:t xml:space="preserve">ask for </w:t>
      </w:r>
      <w:r w:rsidRPr="00E116B6" w:rsidR="00601492">
        <w:rPr>
          <w:lang w:val="en-GB"/>
        </w:rPr>
        <w:t>a plea bargain with the prosecution. The member of parliament had given her a</w:t>
      </w:r>
      <w:r w:rsidRPr="00E116B6" w:rsidR="00B00C6C">
        <w:rPr>
          <w:lang w:val="en-GB"/>
        </w:rPr>
        <w:t>n advance</w:t>
      </w:r>
      <w:r w:rsidRPr="00E116B6" w:rsidR="00601492">
        <w:rPr>
          <w:lang w:val="en-GB"/>
        </w:rPr>
        <w:t xml:space="preserve"> payment of USD 1,500 to convince her husband. However, when </w:t>
      </w:r>
      <w:r w:rsidRPr="00E116B6" w:rsidR="006555F4">
        <w:rPr>
          <w:lang w:val="en-GB"/>
        </w:rPr>
        <w:t xml:space="preserve">on </w:t>
      </w:r>
      <w:r w:rsidRPr="00E116B6" w:rsidR="00152E07">
        <w:rPr>
          <w:lang w:val="en-GB"/>
        </w:rPr>
        <w:t>5 </w:t>
      </w:r>
      <w:r w:rsidRPr="00E116B6" w:rsidR="00601492">
        <w:rPr>
          <w:lang w:val="en-GB"/>
        </w:rPr>
        <w:t>August 2004 the first applicant had refused to make a statement confirming his confessi</w:t>
      </w:r>
      <w:r w:rsidRPr="00E116B6" w:rsidR="006555F4">
        <w:rPr>
          <w:lang w:val="en-GB"/>
        </w:rPr>
        <w:t xml:space="preserve">on </w:t>
      </w:r>
      <w:r w:rsidRPr="00E116B6" w:rsidR="00601492">
        <w:rPr>
          <w:lang w:val="en-GB"/>
        </w:rPr>
        <w:t>in the presence of the investigator and the newly appointed public lawyer Sh.Dz.</w:t>
      </w:r>
      <w:r w:rsidRPr="00E116B6" w:rsidR="00570824">
        <w:rPr>
          <w:lang w:val="en-GB"/>
        </w:rPr>
        <w:t xml:space="preserve"> (see paragraph 3</w:t>
      </w:r>
      <w:r w:rsidRPr="00E116B6" w:rsidR="00152E07">
        <w:rPr>
          <w:lang w:val="en-GB"/>
        </w:rPr>
        <w:t>3</w:t>
      </w:r>
      <w:r w:rsidRPr="00E116B6" w:rsidR="00570824">
        <w:rPr>
          <w:lang w:val="en-GB"/>
        </w:rPr>
        <w:t xml:space="preserve"> above)</w:t>
      </w:r>
      <w:r w:rsidRPr="00E116B6" w:rsidR="00601492">
        <w:rPr>
          <w:lang w:val="en-GB"/>
        </w:rPr>
        <w:t>, the investigator had left the hospital and K</w:t>
      </w:r>
      <w:r w:rsidRPr="00E116B6" w:rsidR="00E43A5F">
        <w:rPr>
          <w:lang w:val="en-GB"/>
        </w:rPr>
        <w:t>.</w:t>
      </w:r>
      <w:r w:rsidRPr="00E116B6" w:rsidR="00601492">
        <w:rPr>
          <w:lang w:val="en-GB"/>
        </w:rPr>
        <w:t>K</w:t>
      </w:r>
      <w:r w:rsidRPr="00E116B6" w:rsidR="00E43A5F">
        <w:rPr>
          <w:lang w:val="en-GB"/>
        </w:rPr>
        <w:t>.</w:t>
      </w:r>
      <w:r w:rsidRPr="00E116B6" w:rsidR="00601492">
        <w:rPr>
          <w:lang w:val="en-GB"/>
        </w:rPr>
        <w:t>, a “mafia boss” whose criminal case had been investigated by the same investigator, had been allowed into the first applicant</w:t>
      </w:r>
      <w:r w:rsidRPr="00E116B6" w:rsidR="00E116B6">
        <w:rPr>
          <w:lang w:val="en-GB"/>
        </w:rPr>
        <w:t>’</w:t>
      </w:r>
      <w:r w:rsidRPr="00E116B6" w:rsidR="00601492">
        <w:rPr>
          <w:lang w:val="en-GB"/>
        </w:rPr>
        <w:t>s cell. K.K</w:t>
      </w:r>
      <w:r w:rsidRPr="00E116B6" w:rsidR="00E43A5F">
        <w:rPr>
          <w:lang w:val="en-GB"/>
        </w:rPr>
        <w:t>.</w:t>
      </w:r>
      <w:r w:rsidRPr="00E116B6" w:rsidR="00601492">
        <w:rPr>
          <w:lang w:val="en-GB"/>
        </w:rPr>
        <w:t xml:space="preserve"> had threatened the applicant with death </w:t>
      </w:r>
      <w:r w:rsidRPr="00E116B6" w:rsidR="000B4457">
        <w:rPr>
          <w:lang w:val="en-GB"/>
        </w:rPr>
        <w:t xml:space="preserve">if </w:t>
      </w:r>
      <w:r w:rsidRPr="00E116B6" w:rsidR="00601492">
        <w:rPr>
          <w:lang w:val="en-GB"/>
        </w:rPr>
        <w:t>he refused to cooperate with the investigator, giving him two days to think about it. The first applicant</w:t>
      </w:r>
      <w:r w:rsidRPr="00E116B6" w:rsidR="00E116B6">
        <w:rPr>
          <w:lang w:val="en-GB"/>
        </w:rPr>
        <w:t>’</w:t>
      </w:r>
      <w:r w:rsidRPr="00E116B6" w:rsidR="00601492">
        <w:rPr>
          <w:lang w:val="en-GB"/>
        </w:rPr>
        <w:t xml:space="preserve">s wife added that she had received threats </w:t>
      </w:r>
      <w:r w:rsidRPr="00E116B6" w:rsidR="000B4457">
        <w:rPr>
          <w:lang w:val="en-GB"/>
        </w:rPr>
        <w:t>since 19</w:t>
      </w:r>
      <w:r w:rsidRPr="00E116B6" w:rsidR="00055BAB">
        <w:rPr>
          <w:lang w:val="en-GB"/>
        </w:rPr>
        <w:t> </w:t>
      </w:r>
      <w:r w:rsidRPr="00E116B6" w:rsidR="000B4457">
        <w:rPr>
          <w:lang w:val="en-GB"/>
        </w:rPr>
        <w:t xml:space="preserve">August 2004 </w:t>
      </w:r>
      <w:r w:rsidRPr="00E116B6" w:rsidR="00601492">
        <w:rPr>
          <w:lang w:val="en-GB"/>
        </w:rPr>
        <w:t xml:space="preserve">that her child would be killed if she dared to </w:t>
      </w:r>
      <w:r w:rsidRPr="00E116B6" w:rsidR="000B4457">
        <w:rPr>
          <w:lang w:val="en-GB"/>
        </w:rPr>
        <w:t xml:space="preserve">speak </w:t>
      </w:r>
      <w:r w:rsidRPr="00E116B6" w:rsidR="001D6EAB">
        <w:rPr>
          <w:lang w:val="en-GB"/>
        </w:rPr>
        <w:t xml:space="preserve">about </w:t>
      </w:r>
      <w:r w:rsidRPr="00E116B6" w:rsidR="00601492">
        <w:rPr>
          <w:lang w:val="en-GB"/>
        </w:rPr>
        <w:t xml:space="preserve">the above-mentioned </w:t>
      </w:r>
      <w:r w:rsidRPr="00E116B6" w:rsidR="001D6EAB">
        <w:rPr>
          <w:lang w:val="en-GB"/>
        </w:rPr>
        <w:t>events</w:t>
      </w:r>
      <w:r w:rsidRPr="00E116B6" w:rsidR="000B4457">
        <w:rPr>
          <w:lang w:val="en-GB"/>
        </w:rPr>
        <w:t xml:space="preserve"> with the authorities</w:t>
      </w:r>
      <w:r w:rsidRPr="00E116B6" w:rsidR="00601492">
        <w:rPr>
          <w:lang w:val="en-GB"/>
        </w:rPr>
        <w:t>.</w:t>
      </w:r>
    </w:p>
    <w:bookmarkStart w:name="victimsbribe1" w:id="21"/>
    <w:p w:rsidRPr="00E116B6" w:rsidR="00AC1180" w:rsidP="00E116B6" w:rsidRDefault="00FD31A2">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38</w:t>
      </w:r>
      <w:r w:rsidRPr="00E116B6">
        <w:rPr>
          <w:lang w:val="en-GB"/>
        </w:rPr>
        <w:fldChar w:fldCharType="end"/>
      </w:r>
      <w:bookmarkEnd w:id="21"/>
      <w:r w:rsidRPr="00E116B6" w:rsidR="00AA2154">
        <w:rPr>
          <w:lang w:val="en-GB"/>
        </w:rPr>
        <w:t>.  The alleg</w:t>
      </w:r>
      <w:r w:rsidRPr="00E116B6" w:rsidR="00B00C6C">
        <w:rPr>
          <w:lang w:val="en-GB"/>
        </w:rPr>
        <w:t xml:space="preserve">ations of </w:t>
      </w:r>
      <w:r w:rsidRPr="00E116B6" w:rsidR="00AA2154">
        <w:rPr>
          <w:lang w:val="en-GB"/>
        </w:rPr>
        <w:t>the second applicant</w:t>
      </w:r>
      <w:r w:rsidRPr="00E116B6" w:rsidR="00E116B6">
        <w:rPr>
          <w:lang w:val="en-GB"/>
        </w:rPr>
        <w:t>’</w:t>
      </w:r>
      <w:r w:rsidRPr="00E116B6" w:rsidR="00AA2154">
        <w:rPr>
          <w:lang w:val="en-GB"/>
        </w:rPr>
        <w:t xml:space="preserve">s mother were subsequently </w:t>
      </w:r>
      <w:r w:rsidRPr="00E116B6" w:rsidR="00601492">
        <w:rPr>
          <w:lang w:val="en-GB"/>
        </w:rPr>
        <w:t>confirmed</w:t>
      </w:r>
      <w:r w:rsidRPr="00E116B6" w:rsidR="00AA2154">
        <w:rPr>
          <w:lang w:val="en-GB"/>
        </w:rPr>
        <w:t xml:space="preserve"> by a journalistic in</w:t>
      </w:r>
      <w:r w:rsidRPr="00E116B6" w:rsidR="00B00C6C">
        <w:rPr>
          <w:lang w:val="en-GB"/>
        </w:rPr>
        <w:t>vestigati</w:t>
      </w:r>
      <w:r w:rsidRPr="00E116B6" w:rsidR="006555F4">
        <w:rPr>
          <w:lang w:val="en-GB"/>
        </w:rPr>
        <w:t xml:space="preserve">on </w:t>
      </w:r>
      <w:r w:rsidRPr="00E116B6" w:rsidR="00AA2154">
        <w:rPr>
          <w:lang w:val="en-GB"/>
        </w:rPr>
        <w:t xml:space="preserve">into the events </w:t>
      </w:r>
      <w:r w:rsidRPr="00E116B6" w:rsidR="006F4E2B">
        <w:rPr>
          <w:lang w:val="en-GB"/>
        </w:rPr>
        <w:t>in questi</w:t>
      </w:r>
      <w:r w:rsidRPr="00E116B6" w:rsidR="006555F4">
        <w:rPr>
          <w:lang w:val="en-GB"/>
        </w:rPr>
        <w:t xml:space="preserve">on </w:t>
      </w:r>
      <w:r w:rsidRPr="00E116B6" w:rsidR="00AA2154">
        <w:rPr>
          <w:lang w:val="en-GB"/>
        </w:rPr>
        <w:t xml:space="preserve">(see </w:t>
      </w:r>
      <w:r w:rsidRPr="00E116B6" w:rsidR="00C520DE">
        <w:rPr>
          <w:lang w:val="en-GB"/>
        </w:rPr>
        <w:t>paragraphs</w:t>
      </w:r>
      <w:r w:rsidRPr="00E116B6" w:rsidR="007F65A0">
        <w:rPr>
          <w:lang w:val="en-GB"/>
        </w:rPr>
        <w:t> </w:t>
      </w:r>
      <w:r w:rsidRPr="00E116B6" w:rsidR="00C520DE">
        <w:rPr>
          <w:lang w:val="en-GB"/>
        </w:rPr>
        <w:fldChar w:fldCharType="begin"/>
      </w:r>
      <w:r w:rsidRPr="00E116B6" w:rsidR="00C520DE">
        <w:rPr>
          <w:lang w:val="en-GB"/>
        </w:rPr>
        <w:instrText xml:space="preserve"> REF journalisticstart \h </w:instrText>
      </w:r>
      <w:r w:rsidRPr="00E116B6" w:rsidR="00C520DE">
        <w:rPr>
          <w:lang w:val="en-GB"/>
        </w:rPr>
      </w:r>
      <w:r w:rsidRPr="00E116B6" w:rsidR="00C520DE">
        <w:rPr>
          <w:lang w:val="en-GB"/>
        </w:rPr>
        <w:fldChar w:fldCharType="separate"/>
      </w:r>
      <w:r w:rsidRPr="00E116B6" w:rsidR="00E116B6">
        <w:rPr>
          <w:noProof/>
          <w:lang w:val="en-GB"/>
        </w:rPr>
        <w:t>83</w:t>
      </w:r>
      <w:r w:rsidRPr="00E116B6" w:rsidR="00C520DE">
        <w:rPr>
          <w:lang w:val="en-GB"/>
        </w:rPr>
        <w:fldChar w:fldCharType="end"/>
      </w:r>
      <w:r w:rsidRPr="00E116B6" w:rsidR="00C520DE">
        <w:rPr>
          <w:lang w:val="en-GB"/>
        </w:rPr>
        <w:t>-</w:t>
      </w:r>
      <w:r w:rsidRPr="00E116B6" w:rsidR="00C520DE">
        <w:rPr>
          <w:lang w:val="en-GB"/>
        </w:rPr>
        <w:fldChar w:fldCharType="begin"/>
      </w:r>
      <w:r w:rsidRPr="00E116B6" w:rsidR="00C520DE">
        <w:rPr>
          <w:lang w:val="en-GB"/>
        </w:rPr>
        <w:instrText xml:space="preserve"> REF journalisticfinish \h </w:instrText>
      </w:r>
      <w:r w:rsidRPr="00E116B6" w:rsidR="00C520DE">
        <w:rPr>
          <w:lang w:val="en-GB"/>
        </w:rPr>
      </w:r>
      <w:r w:rsidRPr="00E116B6" w:rsidR="00C520DE">
        <w:rPr>
          <w:lang w:val="en-GB"/>
        </w:rPr>
        <w:fldChar w:fldCharType="separate"/>
      </w:r>
      <w:r w:rsidRPr="00E116B6" w:rsidR="00E116B6">
        <w:rPr>
          <w:noProof/>
          <w:lang w:val="en-GB"/>
        </w:rPr>
        <w:t>85</w:t>
      </w:r>
      <w:r w:rsidRPr="00E116B6" w:rsidR="00C520DE">
        <w:rPr>
          <w:lang w:val="en-GB"/>
        </w:rPr>
        <w:fldChar w:fldCharType="end"/>
      </w:r>
      <w:r w:rsidRPr="00E116B6" w:rsidR="00570824">
        <w:rPr>
          <w:lang w:val="en-GB"/>
        </w:rPr>
        <w:t xml:space="preserve"> </w:t>
      </w:r>
      <w:r w:rsidRPr="00E116B6" w:rsidR="00AA2154">
        <w:rPr>
          <w:lang w:val="en-GB"/>
        </w:rPr>
        <w:t>below).</w:t>
      </w:r>
    </w:p>
    <w:bookmarkStart w:name="investreply3" w:id="22"/>
    <w:p w:rsidRPr="00E116B6" w:rsidR="00F47BE3" w:rsidP="00E116B6" w:rsidRDefault="004C4CF3">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39</w:t>
      </w:r>
      <w:r w:rsidRPr="00E116B6">
        <w:rPr>
          <w:lang w:val="en-GB"/>
        </w:rPr>
        <w:fldChar w:fldCharType="end"/>
      </w:r>
      <w:bookmarkEnd w:id="22"/>
      <w:r w:rsidRPr="00E116B6" w:rsidR="00CD3BE9">
        <w:rPr>
          <w:lang w:val="en-GB"/>
        </w:rPr>
        <w:t>.  </w:t>
      </w:r>
      <w:r w:rsidRPr="00E116B6" w:rsidR="00F47BE3">
        <w:rPr>
          <w:lang w:val="en-GB"/>
        </w:rPr>
        <w:t>On 1 October 2004 the city prosecutor replied to the first applicant</w:t>
      </w:r>
      <w:r w:rsidRPr="00E116B6" w:rsidR="00E116B6">
        <w:rPr>
          <w:lang w:val="en-GB"/>
        </w:rPr>
        <w:t>’</w:t>
      </w:r>
      <w:r w:rsidRPr="00E116B6" w:rsidR="00F47BE3">
        <w:rPr>
          <w:lang w:val="en-GB"/>
        </w:rPr>
        <w:t>s wife and the second applicant</w:t>
      </w:r>
      <w:r w:rsidRPr="00E116B6" w:rsidR="00E116B6">
        <w:rPr>
          <w:lang w:val="en-GB"/>
        </w:rPr>
        <w:t>’</w:t>
      </w:r>
      <w:r w:rsidRPr="00E116B6" w:rsidR="00F47BE3">
        <w:rPr>
          <w:lang w:val="en-GB"/>
        </w:rPr>
        <w:t>s mother that their complaints of 27</w:t>
      </w:r>
      <w:r w:rsidRPr="00E116B6" w:rsidR="0000400E">
        <w:rPr>
          <w:lang w:val="en-GB"/>
        </w:rPr>
        <w:t> </w:t>
      </w:r>
      <w:r w:rsidRPr="00E116B6" w:rsidR="00F47BE3">
        <w:rPr>
          <w:lang w:val="en-GB"/>
        </w:rPr>
        <w:t xml:space="preserve">September 2004 were manifestly ill-founded for the </w:t>
      </w:r>
      <w:r w:rsidRPr="00E116B6" w:rsidR="001D6EAB">
        <w:rPr>
          <w:lang w:val="en-GB"/>
        </w:rPr>
        <w:t xml:space="preserve">same </w:t>
      </w:r>
      <w:r w:rsidRPr="00E116B6" w:rsidR="00F47BE3">
        <w:rPr>
          <w:lang w:val="en-GB"/>
        </w:rPr>
        <w:t xml:space="preserve">reasons given in the replies to the </w:t>
      </w:r>
      <w:r w:rsidRPr="00E116B6" w:rsidR="00F8626C">
        <w:rPr>
          <w:lang w:val="en-GB"/>
        </w:rPr>
        <w:t>first applicant</w:t>
      </w:r>
      <w:r w:rsidRPr="00E116B6" w:rsidR="00E116B6">
        <w:rPr>
          <w:lang w:val="en-GB"/>
        </w:rPr>
        <w:t>’</w:t>
      </w:r>
      <w:r w:rsidRPr="00E116B6" w:rsidR="00F8626C">
        <w:rPr>
          <w:lang w:val="en-GB"/>
        </w:rPr>
        <w:t xml:space="preserve">s </w:t>
      </w:r>
      <w:r w:rsidRPr="00E116B6" w:rsidR="00F47BE3">
        <w:rPr>
          <w:lang w:val="en-GB"/>
        </w:rPr>
        <w:t xml:space="preserve">repeated requests </w:t>
      </w:r>
      <w:r w:rsidRPr="00E116B6" w:rsidR="001D6EAB">
        <w:rPr>
          <w:lang w:val="en-GB"/>
        </w:rPr>
        <w:t xml:space="preserve">to have </w:t>
      </w:r>
      <w:r w:rsidRPr="00E116B6" w:rsidR="00F47BE3">
        <w:rPr>
          <w:lang w:val="en-GB"/>
        </w:rPr>
        <w:t>his alibi</w:t>
      </w:r>
      <w:r w:rsidRPr="00E116B6" w:rsidR="001D6EAB">
        <w:rPr>
          <w:lang w:val="en-GB"/>
        </w:rPr>
        <w:t xml:space="preserve"> checked</w:t>
      </w:r>
      <w:r w:rsidRPr="00E116B6" w:rsidR="00F47BE3">
        <w:rPr>
          <w:lang w:val="en-GB"/>
        </w:rPr>
        <w:t>.</w:t>
      </w:r>
    </w:p>
    <w:p w:rsidRPr="00E116B6" w:rsidR="00F47BE3" w:rsidP="00E116B6" w:rsidRDefault="004C4CF3">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40</w:t>
      </w:r>
      <w:r w:rsidRPr="00E116B6">
        <w:rPr>
          <w:lang w:val="en-GB"/>
        </w:rPr>
        <w:fldChar w:fldCharType="end"/>
      </w:r>
      <w:r w:rsidRPr="00E116B6" w:rsidR="00F47BE3">
        <w:rPr>
          <w:lang w:val="en-GB"/>
        </w:rPr>
        <w:t>.  </w:t>
      </w:r>
      <w:r w:rsidRPr="00E116B6" w:rsidR="001D6EAB">
        <w:rPr>
          <w:lang w:val="en-GB"/>
        </w:rPr>
        <w:t xml:space="preserve">At </w:t>
      </w:r>
      <w:r w:rsidRPr="00E116B6" w:rsidR="00CD3BE9">
        <w:rPr>
          <w:lang w:val="en-GB"/>
        </w:rPr>
        <w:t>the beginning of October 2004 the first applicant dismiss</w:t>
      </w:r>
      <w:r w:rsidRPr="00E116B6" w:rsidR="001D6EAB">
        <w:rPr>
          <w:lang w:val="en-GB"/>
        </w:rPr>
        <w:t xml:space="preserve">ed </w:t>
      </w:r>
      <w:r w:rsidRPr="00E116B6" w:rsidR="00CD3BE9">
        <w:rPr>
          <w:lang w:val="en-GB"/>
        </w:rPr>
        <w:t>Sh.Dz.</w:t>
      </w:r>
      <w:r w:rsidRPr="00E116B6" w:rsidR="001D6EAB">
        <w:rPr>
          <w:lang w:val="en-GB"/>
        </w:rPr>
        <w:t xml:space="preserve"> and </w:t>
      </w:r>
      <w:r w:rsidRPr="00E116B6" w:rsidR="00CD3BE9">
        <w:rPr>
          <w:lang w:val="en-GB"/>
        </w:rPr>
        <w:t xml:space="preserve">reappointed </w:t>
      </w:r>
      <w:r w:rsidRPr="00E116B6" w:rsidR="001D6EAB">
        <w:rPr>
          <w:lang w:val="en-GB"/>
        </w:rPr>
        <w:t>his</w:t>
      </w:r>
      <w:r w:rsidRPr="00E116B6" w:rsidR="00AC44B4">
        <w:rPr>
          <w:lang w:val="en-GB"/>
        </w:rPr>
        <w:t xml:space="preserve"> private</w:t>
      </w:r>
      <w:r w:rsidRPr="00E116B6" w:rsidR="001D6EAB">
        <w:rPr>
          <w:lang w:val="en-GB"/>
        </w:rPr>
        <w:t xml:space="preserve"> </w:t>
      </w:r>
      <w:r w:rsidRPr="00E116B6" w:rsidR="00CD3BE9">
        <w:rPr>
          <w:lang w:val="en-GB"/>
        </w:rPr>
        <w:t>lawyer</w:t>
      </w:r>
      <w:r w:rsidRPr="00E116B6" w:rsidR="00AC44B4">
        <w:rPr>
          <w:lang w:val="en-GB"/>
        </w:rPr>
        <w:t xml:space="preserve"> (see paragraph 23 above)</w:t>
      </w:r>
      <w:r w:rsidRPr="00E116B6" w:rsidR="00CD3BE9">
        <w:rPr>
          <w:lang w:val="en-GB"/>
        </w:rPr>
        <w:t>.</w:t>
      </w:r>
    </w:p>
    <w:bookmarkStart w:name="apprequestreinvest" w:id="23"/>
    <w:p w:rsidRPr="00E116B6" w:rsidR="00CC208C" w:rsidP="00E116B6" w:rsidRDefault="00FD31A2">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41</w:t>
      </w:r>
      <w:r w:rsidRPr="00E116B6">
        <w:rPr>
          <w:lang w:val="en-GB"/>
        </w:rPr>
        <w:fldChar w:fldCharType="end"/>
      </w:r>
      <w:bookmarkEnd w:id="23"/>
      <w:r w:rsidRPr="00E116B6" w:rsidR="00CD3BE9">
        <w:rPr>
          <w:lang w:val="en-GB"/>
        </w:rPr>
        <w:t>.  On 8 October 2004 the first applicant</w:t>
      </w:r>
      <w:r w:rsidRPr="00E116B6" w:rsidR="00E116B6">
        <w:rPr>
          <w:lang w:val="en-GB"/>
        </w:rPr>
        <w:t>’</w:t>
      </w:r>
      <w:r w:rsidRPr="00E116B6" w:rsidR="00CD3BE9">
        <w:rPr>
          <w:lang w:val="en-GB"/>
        </w:rPr>
        <w:t xml:space="preserve">s lawyer wrote to the </w:t>
      </w:r>
      <w:r w:rsidRPr="00E116B6" w:rsidR="00F27256">
        <w:rPr>
          <w:lang w:val="en-GB"/>
        </w:rPr>
        <w:t xml:space="preserve">Tbilisi </w:t>
      </w:r>
      <w:r w:rsidRPr="00E116B6" w:rsidR="00CD3BE9">
        <w:rPr>
          <w:lang w:val="en-GB"/>
        </w:rPr>
        <w:t>city prosecutor requesting, among other things, that secret recordings of various meetings between the first applicant</w:t>
      </w:r>
      <w:r w:rsidRPr="00E116B6" w:rsidR="00E116B6">
        <w:rPr>
          <w:lang w:val="en-GB"/>
        </w:rPr>
        <w:t>’</w:t>
      </w:r>
      <w:r w:rsidRPr="00E116B6" w:rsidR="00CD3BE9">
        <w:rPr>
          <w:lang w:val="en-GB"/>
        </w:rPr>
        <w:t>s wife and the member of parliament</w:t>
      </w:r>
      <w:r w:rsidRPr="00E116B6" w:rsidR="00E116B6">
        <w:rPr>
          <w:lang w:val="en-GB"/>
        </w:rPr>
        <w:t>’</w:t>
      </w:r>
      <w:r w:rsidRPr="00E116B6" w:rsidR="00CD3BE9">
        <w:rPr>
          <w:lang w:val="en-GB"/>
        </w:rPr>
        <w:t>s lawyer (see the details of the jou</w:t>
      </w:r>
      <w:r w:rsidRPr="00E116B6" w:rsidR="00C520DE">
        <w:rPr>
          <w:lang w:val="en-GB"/>
        </w:rPr>
        <w:t>rnalistic inquiry at paragraphs</w:t>
      </w:r>
      <w:r w:rsidRPr="00E116B6" w:rsidR="007F65A0">
        <w:rPr>
          <w:lang w:val="en-GB"/>
        </w:rPr>
        <w:t> </w:t>
      </w:r>
      <w:r w:rsidRPr="00E116B6" w:rsidR="00C520DE">
        <w:rPr>
          <w:lang w:val="en-GB"/>
        </w:rPr>
        <w:fldChar w:fldCharType="begin"/>
      </w:r>
      <w:r w:rsidRPr="00E116B6" w:rsidR="00C520DE">
        <w:rPr>
          <w:lang w:val="en-GB"/>
        </w:rPr>
        <w:instrText xml:space="preserve"> REF journalisticstart \h </w:instrText>
      </w:r>
      <w:r w:rsidRPr="00E116B6" w:rsidR="00C520DE">
        <w:rPr>
          <w:lang w:val="en-GB"/>
        </w:rPr>
      </w:r>
      <w:r w:rsidRPr="00E116B6" w:rsidR="00C520DE">
        <w:rPr>
          <w:lang w:val="en-GB"/>
        </w:rPr>
        <w:fldChar w:fldCharType="separate"/>
      </w:r>
      <w:r w:rsidRPr="00E116B6" w:rsidR="00E116B6">
        <w:rPr>
          <w:noProof/>
          <w:lang w:val="en-GB"/>
        </w:rPr>
        <w:t>83</w:t>
      </w:r>
      <w:r w:rsidRPr="00E116B6" w:rsidR="00C520DE">
        <w:rPr>
          <w:lang w:val="en-GB"/>
        </w:rPr>
        <w:fldChar w:fldCharType="end"/>
      </w:r>
      <w:r w:rsidRPr="00E116B6" w:rsidR="007F65A0">
        <w:rPr>
          <w:lang w:val="en-GB"/>
        </w:rPr>
        <w:noBreakHyphen/>
      </w:r>
      <w:r w:rsidRPr="00E116B6" w:rsidR="00C520DE">
        <w:rPr>
          <w:lang w:val="en-GB"/>
        </w:rPr>
        <w:fldChar w:fldCharType="begin"/>
      </w:r>
      <w:r w:rsidRPr="00E116B6" w:rsidR="00C520DE">
        <w:rPr>
          <w:lang w:val="en-GB"/>
        </w:rPr>
        <w:instrText xml:space="preserve"> REF journalisticfinish \h </w:instrText>
      </w:r>
      <w:r w:rsidRPr="00E116B6" w:rsidR="00C520DE">
        <w:rPr>
          <w:lang w:val="en-GB"/>
        </w:rPr>
      </w:r>
      <w:r w:rsidRPr="00E116B6" w:rsidR="00C520DE">
        <w:rPr>
          <w:lang w:val="en-GB"/>
        </w:rPr>
        <w:fldChar w:fldCharType="separate"/>
      </w:r>
      <w:r w:rsidRPr="00E116B6" w:rsidR="00E116B6">
        <w:rPr>
          <w:noProof/>
          <w:lang w:val="en-GB"/>
        </w:rPr>
        <w:t>85</w:t>
      </w:r>
      <w:r w:rsidRPr="00E116B6" w:rsidR="00C520DE">
        <w:rPr>
          <w:lang w:val="en-GB"/>
        </w:rPr>
        <w:fldChar w:fldCharType="end"/>
      </w:r>
      <w:r w:rsidRPr="00E116B6" w:rsidR="00C520DE">
        <w:rPr>
          <w:lang w:val="en-GB"/>
        </w:rPr>
        <w:t xml:space="preserve"> </w:t>
      </w:r>
      <w:r w:rsidRPr="00E116B6" w:rsidR="00CD3BE9">
        <w:rPr>
          <w:lang w:val="en-GB"/>
        </w:rPr>
        <w:t xml:space="preserve">below) be obtained from the </w:t>
      </w:r>
      <w:r w:rsidRPr="00E116B6" w:rsidR="00F27256">
        <w:rPr>
          <w:lang w:val="en-GB"/>
        </w:rPr>
        <w:t>investigati</w:t>
      </w:r>
      <w:r w:rsidRPr="00E116B6" w:rsidR="006555F4">
        <w:rPr>
          <w:lang w:val="en-GB"/>
        </w:rPr>
        <w:t xml:space="preserve">on </w:t>
      </w:r>
      <w:r w:rsidRPr="00E116B6" w:rsidR="00F27256">
        <w:rPr>
          <w:lang w:val="en-GB"/>
        </w:rPr>
        <w:t>into the</w:t>
      </w:r>
      <w:r w:rsidRPr="00E116B6" w:rsidR="00CD3BE9">
        <w:rPr>
          <w:lang w:val="en-GB"/>
        </w:rPr>
        <w:t xml:space="preserve"> ill</w:t>
      </w:r>
      <w:r w:rsidRPr="00E116B6" w:rsidR="007F65A0">
        <w:rPr>
          <w:lang w:val="en-GB"/>
        </w:rPr>
        <w:noBreakHyphen/>
      </w:r>
      <w:r w:rsidRPr="00E116B6" w:rsidR="00CD3BE9">
        <w:rPr>
          <w:lang w:val="en-GB"/>
        </w:rPr>
        <w:t xml:space="preserve">treatment </w:t>
      </w:r>
      <w:r w:rsidRPr="00E116B6" w:rsidR="00F27256">
        <w:rPr>
          <w:lang w:val="en-GB"/>
        </w:rPr>
        <w:t>case</w:t>
      </w:r>
      <w:r w:rsidRPr="00E116B6" w:rsidR="007F65A0">
        <w:rPr>
          <w:lang w:val="en-GB"/>
        </w:rPr>
        <w:t> </w:t>
      </w:r>
      <w:r w:rsidRPr="00E116B6" w:rsidR="00CD3BE9">
        <w:rPr>
          <w:lang w:val="en-GB"/>
        </w:rPr>
        <w:t>(</w:t>
      </w:r>
      <w:r w:rsidRPr="00E116B6" w:rsidR="00C520DE">
        <w:rPr>
          <w:lang w:val="en-GB"/>
        </w:rPr>
        <w:t>see paragraphs</w:t>
      </w:r>
      <w:r w:rsidRPr="00E116B6" w:rsidR="007F65A0">
        <w:rPr>
          <w:lang w:val="en-GB"/>
        </w:rPr>
        <w:t> </w:t>
      </w:r>
      <w:r w:rsidRPr="00E116B6" w:rsidR="00C520DE">
        <w:rPr>
          <w:lang w:val="en-GB"/>
        </w:rPr>
        <w:fldChar w:fldCharType="begin"/>
      </w:r>
      <w:r w:rsidRPr="00E116B6" w:rsidR="00C520DE">
        <w:rPr>
          <w:lang w:val="en-GB"/>
        </w:rPr>
        <w:instrText xml:space="preserve"> REF criminveststart \h </w:instrText>
      </w:r>
      <w:r w:rsidRPr="00E116B6" w:rsidR="00C520DE">
        <w:rPr>
          <w:lang w:val="en-GB"/>
        </w:rPr>
      </w:r>
      <w:r w:rsidRPr="00E116B6" w:rsidR="00C520DE">
        <w:rPr>
          <w:lang w:val="en-GB"/>
        </w:rPr>
        <w:fldChar w:fldCharType="separate"/>
      </w:r>
      <w:r w:rsidRPr="00E116B6" w:rsidR="00E116B6">
        <w:rPr>
          <w:noProof/>
          <w:lang w:val="en-GB"/>
        </w:rPr>
        <w:t>46</w:t>
      </w:r>
      <w:r w:rsidRPr="00E116B6" w:rsidR="00C520DE">
        <w:rPr>
          <w:lang w:val="en-GB"/>
        </w:rPr>
        <w:fldChar w:fldCharType="end"/>
      </w:r>
      <w:r w:rsidRPr="00E116B6" w:rsidR="007F65A0">
        <w:rPr>
          <w:lang w:val="en-GB"/>
        </w:rPr>
        <w:noBreakHyphen/>
      </w:r>
      <w:r w:rsidRPr="00E116B6" w:rsidR="00C520DE">
        <w:rPr>
          <w:lang w:val="en-GB"/>
        </w:rPr>
        <w:fldChar w:fldCharType="begin"/>
      </w:r>
      <w:r w:rsidRPr="00E116B6" w:rsidR="00C520DE">
        <w:rPr>
          <w:lang w:val="en-GB"/>
        </w:rPr>
        <w:instrText xml:space="preserve"> REF criminvestfinish \h </w:instrText>
      </w:r>
      <w:r w:rsidRPr="00E116B6" w:rsidR="00C520DE">
        <w:rPr>
          <w:lang w:val="en-GB"/>
        </w:rPr>
      </w:r>
      <w:r w:rsidRPr="00E116B6" w:rsidR="00C520DE">
        <w:rPr>
          <w:lang w:val="en-GB"/>
        </w:rPr>
        <w:fldChar w:fldCharType="separate"/>
      </w:r>
      <w:r w:rsidRPr="00E116B6" w:rsidR="00E116B6">
        <w:rPr>
          <w:noProof/>
          <w:lang w:val="en-GB"/>
        </w:rPr>
        <w:t>53</w:t>
      </w:r>
      <w:r w:rsidRPr="00E116B6" w:rsidR="00C520DE">
        <w:rPr>
          <w:lang w:val="en-GB"/>
        </w:rPr>
        <w:fldChar w:fldCharType="end"/>
      </w:r>
      <w:r w:rsidRPr="00E116B6" w:rsidR="00C520DE">
        <w:rPr>
          <w:lang w:val="en-GB"/>
        </w:rPr>
        <w:t xml:space="preserve"> </w:t>
      </w:r>
      <w:r w:rsidRPr="00E116B6" w:rsidR="00CD3BE9">
        <w:rPr>
          <w:lang w:val="en-GB"/>
        </w:rPr>
        <w:t>below) and added to the applicants</w:t>
      </w:r>
      <w:r w:rsidRPr="00E116B6" w:rsidR="00E116B6">
        <w:rPr>
          <w:lang w:val="en-GB"/>
        </w:rPr>
        <w:t>’</w:t>
      </w:r>
      <w:r w:rsidRPr="00E116B6" w:rsidR="00CD3BE9">
        <w:rPr>
          <w:lang w:val="en-GB"/>
        </w:rPr>
        <w:t xml:space="preserve"> criminal case file. That request was </w:t>
      </w:r>
      <w:r w:rsidRPr="00E116B6" w:rsidR="00CC208C">
        <w:rPr>
          <w:lang w:val="en-GB"/>
        </w:rPr>
        <w:t>rejected</w:t>
      </w:r>
      <w:r w:rsidRPr="00E116B6" w:rsidR="00CD3BE9">
        <w:rPr>
          <w:lang w:val="en-GB"/>
        </w:rPr>
        <w:t xml:space="preserve"> </w:t>
      </w:r>
      <w:r w:rsidRPr="00E116B6" w:rsidR="006555F4">
        <w:rPr>
          <w:lang w:val="en-GB"/>
        </w:rPr>
        <w:t xml:space="preserve">on </w:t>
      </w:r>
      <w:r w:rsidRPr="00E116B6" w:rsidR="00CD3BE9">
        <w:rPr>
          <w:lang w:val="en-GB"/>
        </w:rPr>
        <w:t>12 October 2004</w:t>
      </w:r>
      <w:r w:rsidRPr="00E116B6" w:rsidR="00CC208C">
        <w:rPr>
          <w:lang w:val="en-GB"/>
        </w:rPr>
        <w:t>.</w:t>
      </w:r>
    </w:p>
    <w:bookmarkStart w:name="complaintdate3" w:id="24"/>
    <w:p w:rsidRPr="00E116B6" w:rsidR="00CD3BE9" w:rsidP="00E116B6" w:rsidRDefault="004C4CF3">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42</w:t>
      </w:r>
      <w:r w:rsidRPr="00E116B6">
        <w:rPr>
          <w:lang w:val="en-GB"/>
        </w:rPr>
        <w:fldChar w:fldCharType="end"/>
      </w:r>
      <w:bookmarkEnd w:id="24"/>
      <w:r w:rsidRPr="00E116B6" w:rsidR="00CC208C">
        <w:rPr>
          <w:lang w:val="en-GB"/>
        </w:rPr>
        <w:t>.  </w:t>
      </w:r>
      <w:r w:rsidRPr="00E116B6" w:rsidR="00CD3BE9">
        <w:rPr>
          <w:lang w:val="en-GB"/>
        </w:rPr>
        <w:t>On 21 October 2004 the first applicant</w:t>
      </w:r>
      <w:r w:rsidRPr="00E116B6" w:rsidR="00E116B6">
        <w:rPr>
          <w:lang w:val="en-GB"/>
        </w:rPr>
        <w:t>’</w:t>
      </w:r>
      <w:r w:rsidRPr="00E116B6" w:rsidR="00CD3BE9">
        <w:rPr>
          <w:lang w:val="en-GB"/>
        </w:rPr>
        <w:t>s lawyer informed the investigator that his client wished to be questioned again.</w:t>
      </w:r>
      <w:r w:rsidRPr="00E116B6" w:rsidR="0024315E">
        <w:rPr>
          <w:lang w:val="en-GB"/>
        </w:rPr>
        <w:t xml:space="preserve"> T</w:t>
      </w:r>
      <w:r w:rsidRPr="00E116B6" w:rsidR="00CD3BE9">
        <w:rPr>
          <w:lang w:val="en-GB"/>
        </w:rPr>
        <w:t>he in</w:t>
      </w:r>
      <w:r w:rsidRPr="00E116B6" w:rsidR="00E43A5F">
        <w:rPr>
          <w:lang w:val="en-GB"/>
        </w:rPr>
        <w:t>vestigator</w:t>
      </w:r>
      <w:r w:rsidRPr="00E116B6" w:rsidR="00CD3BE9">
        <w:rPr>
          <w:lang w:val="en-GB"/>
        </w:rPr>
        <w:t xml:space="preserve"> questioned the first applicant</w:t>
      </w:r>
      <w:r w:rsidRPr="00E116B6" w:rsidR="0024315E">
        <w:rPr>
          <w:lang w:val="en-GB"/>
        </w:rPr>
        <w:t xml:space="preserve"> the same day and he </w:t>
      </w:r>
      <w:r w:rsidRPr="00E116B6" w:rsidR="00CD3BE9">
        <w:rPr>
          <w:lang w:val="en-GB"/>
        </w:rPr>
        <w:t xml:space="preserve">repeated all the factual details concerning his </w:t>
      </w:r>
      <w:r w:rsidRPr="00E116B6" w:rsidR="00F43F35">
        <w:rPr>
          <w:lang w:val="en-GB"/>
        </w:rPr>
        <w:t>a</w:t>
      </w:r>
      <w:r w:rsidRPr="00E116B6" w:rsidR="00CD3BE9">
        <w:rPr>
          <w:lang w:val="en-GB"/>
        </w:rPr>
        <w:t xml:space="preserve">llegations of ill-treatment </w:t>
      </w:r>
      <w:r w:rsidRPr="00E116B6" w:rsidR="006555F4">
        <w:rPr>
          <w:lang w:val="en-GB"/>
        </w:rPr>
        <w:t xml:space="preserve">on </w:t>
      </w:r>
      <w:r w:rsidRPr="00E116B6" w:rsidR="00CD3BE9">
        <w:rPr>
          <w:lang w:val="en-GB"/>
        </w:rPr>
        <w:t xml:space="preserve">13 May 2004, gave the names of the police officers involved and </w:t>
      </w:r>
      <w:r w:rsidRPr="00E116B6" w:rsidR="00F8626C">
        <w:rPr>
          <w:lang w:val="en-GB"/>
        </w:rPr>
        <w:t xml:space="preserve">detailed </w:t>
      </w:r>
      <w:r w:rsidRPr="00E116B6" w:rsidR="00CD3BE9">
        <w:rPr>
          <w:lang w:val="en-GB"/>
        </w:rPr>
        <w:t>the threats made against him</w:t>
      </w:r>
      <w:r w:rsidRPr="00E116B6" w:rsidR="0024315E">
        <w:rPr>
          <w:lang w:val="en-GB"/>
        </w:rPr>
        <w:t xml:space="preserve">. He </w:t>
      </w:r>
      <w:r w:rsidRPr="00E116B6" w:rsidR="00CD3BE9">
        <w:rPr>
          <w:lang w:val="en-GB"/>
        </w:rPr>
        <w:t xml:space="preserve">complained of </w:t>
      </w:r>
      <w:r w:rsidRPr="00E116B6" w:rsidR="00F43F35">
        <w:rPr>
          <w:lang w:val="en-GB"/>
        </w:rPr>
        <w:t xml:space="preserve">having been coerced </w:t>
      </w:r>
      <w:r w:rsidRPr="00E116B6" w:rsidR="0024315E">
        <w:rPr>
          <w:lang w:val="en-GB"/>
        </w:rPr>
        <w:t>in</w:t>
      </w:r>
      <w:r w:rsidRPr="00E116B6" w:rsidR="00F43F35">
        <w:rPr>
          <w:lang w:val="en-GB"/>
        </w:rPr>
        <w:t>to accept</w:t>
      </w:r>
      <w:r w:rsidRPr="00E116B6" w:rsidR="0024315E">
        <w:rPr>
          <w:lang w:val="en-GB"/>
        </w:rPr>
        <w:t xml:space="preserve">ing Sh.Dz. as his </w:t>
      </w:r>
      <w:r w:rsidRPr="00E116B6" w:rsidR="00406014">
        <w:rPr>
          <w:lang w:val="en-GB"/>
        </w:rPr>
        <w:t>lawyer</w:t>
      </w:r>
      <w:r w:rsidRPr="00E116B6" w:rsidR="00F8626C">
        <w:rPr>
          <w:lang w:val="en-GB"/>
        </w:rPr>
        <w:t xml:space="preserve"> and that his </w:t>
      </w:r>
      <w:r w:rsidRPr="00E116B6" w:rsidR="00CD3BE9">
        <w:rPr>
          <w:lang w:val="en-GB"/>
        </w:rPr>
        <w:t>sole purpose had been to sign witness statements for the investigator.</w:t>
      </w:r>
    </w:p>
    <w:bookmarkStart w:name="detentionorder1" w:id="25"/>
    <w:p w:rsidRPr="00E116B6" w:rsidR="00CD3BE9" w:rsidP="00E116B6" w:rsidRDefault="004C4CF3">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43</w:t>
      </w:r>
      <w:r w:rsidRPr="00E116B6">
        <w:rPr>
          <w:lang w:val="en-GB"/>
        </w:rPr>
        <w:fldChar w:fldCharType="end"/>
      </w:r>
      <w:bookmarkEnd w:id="25"/>
      <w:r w:rsidRPr="00E116B6" w:rsidR="00CD3BE9">
        <w:rPr>
          <w:lang w:val="en-GB"/>
        </w:rPr>
        <w:t>.  On 5 November 2004</w:t>
      </w:r>
      <w:r w:rsidRPr="00E116B6" w:rsidR="00162B14">
        <w:rPr>
          <w:lang w:val="en-GB"/>
        </w:rPr>
        <w:t xml:space="preserve"> the prosecutor</w:t>
      </w:r>
      <w:r w:rsidRPr="00E116B6" w:rsidR="00CD3BE9">
        <w:rPr>
          <w:lang w:val="en-GB"/>
        </w:rPr>
        <w:t xml:space="preserve"> </w:t>
      </w:r>
      <w:r w:rsidRPr="00E116B6" w:rsidR="00F8626C">
        <w:rPr>
          <w:lang w:val="en-GB"/>
        </w:rPr>
        <w:t>applied for an extensi</w:t>
      </w:r>
      <w:r w:rsidRPr="00E116B6" w:rsidR="006555F4">
        <w:rPr>
          <w:lang w:val="en-GB"/>
        </w:rPr>
        <w:t xml:space="preserve">on </w:t>
      </w:r>
      <w:r w:rsidRPr="00E116B6" w:rsidR="00F8626C">
        <w:rPr>
          <w:lang w:val="en-GB"/>
        </w:rPr>
        <w:t xml:space="preserve">of two months </w:t>
      </w:r>
      <w:r w:rsidRPr="00E116B6" w:rsidR="006F4E2B">
        <w:rPr>
          <w:lang w:val="en-GB"/>
        </w:rPr>
        <w:t>to</w:t>
      </w:r>
      <w:r w:rsidRPr="00E116B6" w:rsidR="00F8626C">
        <w:rPr>
          <w:lang w:val="en-GB"/>
        </w:rPr>
        <w:t xml:space="preserve"> </w:t>
      </w:r>
      <w:r w:rsidRPr="00E116B6" w:rsidR="00CD3BE9">
        <w:rPr>
          <w:lang w:val="en-GB"/>
        </w:rPr>
        <w:t xml:space="preserve">the </w:t>
      </w:r>
      <w:r w:rsidRPr="00E116B6" w:rsidR="00F8626C">
        <w:rPr>
          <w:lang w:val="en-GB"/>
        </w:rPr>
        <w:t>applicants</w:t>
      </w:r>
      <w:r w:rsidRPr="00E116B6" w:rsidR="00E116B6">
        <w:rPr>
          <w:lang w:val="en-GB"/>
        </w:rPr>
        <w:t>’</w:t>
      </w:r>
      <w:r w:rsidRPr="00E116B6" w:rsidR="00F8626C">
        <w:rPr>
          <w:lang w:val="en-GB"/>
        </w:rPr>
        <w:t xml:space="preserve"> </w:t>
      </w:r>
      <w:r w:rsidRPr="00E116B6" w:rsidR="00CD3BE9">
        <w:rPr>
          <w:lang w:val="en-GB"/>
        </w:rPr>
        <w:t>pre-trial detention</w:t>
      </w:r>
      <w:r w:rsidRPr="00E116B6" w:rsidR="00696734">
        <w:rPr>
          <w:lang w:val="en-GB"/>
        </w:rPr>
        <w:t>,</w:t>
      </w:r>
      <w:r w:rsidRPr="00E116B6" w:rsidR="00D32B6C">
        <w:rPr>
          <w:lang w:val="en-GB"/>
        </w:rPr>
        <w:t xml:space="preserve"> </w:t>
      </w:r>
      <w:r w:rsidRPr="00E116B6" w:rsidR="00696734">
        <w:rPr>
          <w:lang w:val="en-GB"/>
        </w:rPr>
        <w:t>u</w:t>
      </w:r>
      <w:r w:rsidRPr="00E116B6" w:rsidR="00D32B6C">
        <w:rPr>
          <w:lang w:val="en-GB"/>
        </w:rPr>
        <w:t>ntil 13 January 2005</w:t>
      </w:r>
      <w:r w:rsidRPr="00E116B6" w:rsidR="00CD3BE9">
        <w:rPr>
          <w:lang w:val="en-GB"/>
        </w:rPr>
        <w:t>.</w:t>
      </w:r>
      <w:r w:rsidRPr="00E116B6" w:rsidR="00240368">
        <w:rPr>
          <w:lang w:val="en-GB"/>
        </w:rPr>
        <w:t xml:space="preserve"> By a decisi</w:t>
      </w:r>
      <w:r w:rsidRPr="00E116B6" w:rsidR="006555F4">
        <w:rPr>
          <w:lang w:val="en-GB"/>
        </w:rPr>
        <w:t xml:space="preserve">on </w:t>
      </w:r>
      <w:r w:rsidRPr="00E116B6" w:rsidR="00240368">
        <w:rPr>
          <w:lang w:val="en-GB"/>
        </w:rPr>
        <w:t>of</w:t>
      </w:r>
      <w:r w:rsidRPr="00E116B6" w:rsidR="00CD3BE9">
        <w:rPr>
          <w:lang w:val="en-GB"/>
        </w:rPr>
        <w:t xml:space="preserve"> 10 November 2004, a judge </w:t>
      </w:r>
      <w:r w:rsidRPr="00E116B6" w:rsidR="0024315E">
        <w:rPr>
          <w:lang w:val="en-GB"/>
        </w:rPr>
        <w:t>at</w:t>
      </w:r>
      <w:r w:rsidRPr="00E116B6" w:rsidR="00CD3BE9">
        <w:rPr>
          <w:lang w:val="en-GB"/>
        </w:rPr>
        <w:t xml:space="preserve"> the Supreme Court, after review</w:t>
      </w:r>
      <w:r w:rsidRPr="00E116B6" w:rsidR="00F8626C">
        <w:rPr>
          <w:lang w:val="en-GB"/>
        </w:rPr>
        <w:t>ing</w:t>
      </w:r>
      <w:r w:rsidRPr="00E116B6" w:rsidR="00CD3BE9">
        <w:rPr>
          <w:lang w:val="en-GB"/>
        </w:rPr>
        <w:t xml:space="preserve"> the </w:t>
      </w:r>
      <w:r w:rsidRPr="00E116B6" w:rsidR="00F8626C">
        <w:rPr>
          <w:lang w:val="en-GB"/>
        </w:rPr>
        <w:t>applicati</w:t>
      </w:r>
      <w:r w:rsidRPr="00E116B6" w:rsidR="006555F4">
        <w:rPr>
          <w:lang w:val="en-GB"/>
        </w:rPr>
        <w:t xml:space="preserve">on </w:t>
      </w:r>
      <w:r w:rsidRPr="00E116B6" w:rsidR="00CD3BE9">
        <w:rPr>
          <w:lang w:val="en-GB"/>
        </w:rPr>
        <w:t>in the presence of the prosecuti</w:t>
      </w:r>
      <w:r w:rsidRPr="00E116B6" w:rsidR="006555F4">
        <w:rPr>
          <w:lang w:val="en-GB"/>
        </w:rPr>
        <w:t xml:space="preserve">on </w:t>
      </w:r>
      <w:r w:rsidRPr="00E116B6" w:rsidR="00CD3BE9">
        <w:rPr>
          <w:lang w:val="en-GB"/>
        </w:rPr>
        <w:t xml:space="preserve">and </w:t>
      </w:r>
      <w:r w:rsidRPr="00E116B6" w:rsidR="00162B14">
        <w:rPr>
          <w:lang w:val="en-GB"/>
        </w:rPr>
        <w:t>the applicants</w:t>
      </w:r>
      <w:r w:rsidRPr="00E116B6" w:rsidR="00E116B6">
        <w:rPr>
          <w:lang w:val="en-GB"/>
        </w:rPr>
        <w:t>’</w:t>
      </w:r>
      <w:r w:rsidRPr="00E116B6" w:rsidR="00162B14">
        <w:rPr>
          <w:lang w:val="en-GB"/>
        </w:rPr>
        <w:t xml:space="preserve"> lawyers</w:t>
      </w:r>
      <w:r w:rsidRPr="00E116B6" w:rsidR="00CD3BE9">
        <w:rPr>
          <w:lang w:val="en-GB"/>
        </w:rPr>
        <w:t>, granted th</w:t>
      </w:r>
      <w:r w:rsidRPr="00E116B6" w:rsidR="00F8626C">
        <w:rPr>
          <w:lang w:val="en-GB"/>
        </w:rPr>
        <w:t>e extension</w:t>
      </w:r>
      <w:r w:rsidRPr="00E116B6" w:rsidR="00CD3BE9">
        <w:rPr>
          <w:lang w:val="en-GB"/>
        </w:rPr>
        <w:t>. As grounds for that decisi</w:t>
      </w:r>
      <w:r w:rsidRPr="00E116B6" w:rsidR="006555F4">
        <w:rPr>
          <w:lang w:val="en-GB"/>
        </w:rPr>
        <w:t xml:space="preserve">on </w:t>
      </w:r>
      <w:r w:rsidRPr="00E116B6" w:rsidR="00CD3BE9">
        <w:rPr>
          <w:lang w:val="en-GB"/>
        </w:rPr>
        <w:t>he noted that the applicants had been accused of particularly serious crimes and that the “circumstances of the case” gave reas</w:t>
      </w:r>
      <w:r w:rsidRPr="00E116B6" w:rsidR="006555F4">
        <w:rPr>
          <w:lang w:val="en-GB"/>
        </w:rPr>
        <w:t xml:space="preserve">on </w:t>
      </w:r>
      <w:r w:rsidRPr="00E116B6" w:rsidR="00CD3BE9">
        <w:rPr>
          <w:lang w:val="en-GB"/>
        </w:rPr>
        <w:t xml:space="preserve">to believe that if they were released the accused would attempt to impede the establishment of the facts and evade justice. In his view, </w:t>
      </w:r>
      <w:r w:rsidRPr="00E116B6" w:rsidR="00F8626C">
        <w:rPr>
          <w:lang w:val="en-GB"/>
        </w:rPr>
        <w:t xml:space="preserve">a request by </w:t>
      </w:r>
      <w:r w:rsidRPr="00E116B6" w:rsidR="00CD3BE9">
        <w:rPr>
          <w:lang w:val="en-GB"/>
        </w:rPr>
        <w:t xml:space="preserve">the applicants to be released </w:t>
      </w:r>
      <w:r w:rsidRPr="00E116B6" w:rsidR="006555F4">
        <w:rPr>
          <w:lang w:val="en-GB"/>
        </w:rPr>
        <w:t xml:space="preserve">on </w:t>
      </w:r>
      <w:r w:rsidRPr="00E116B6" w:rsidR="00CD3BE9">
        <w:rPr>
          <w:lang w:val="en-GB"/>
        </w:rPr>
        <w:t xml:space="preserve">bail had to be rejected for the same reasons. </w:t>
      </w:r>
      <w:r w:rsidRPr="00E116B6" w:rsidR="00696734">
        <w:rPr>
          <w:lang w:val="en-GB"/>
        </w:rPr>
        <w:t xml:space="preserve">No reference to </w:t>
      </w:r>
      <w:r w:rsidRPr="00E116B6" w:rsidR="00162B14">
        <w:rPr>
          <w:lang w:val="en-GB"/>
        </w:rPr>
        <w:t xml:space="preserve">any </w:t>
      </w:r>
      <w:r w:rsidRPr="00E116B6" w:rsidR="00696734">
        <w:rPr>
          <w:lang w:val="en-GB"/>
        </w:rPr>
        <w:t>specific</w:t>
      </w:r>
      <w:r w:rsidRPr="00E116B6" w:rsidR="00162B14">
        <w:rPr>
          <w:lang w:val="en-GB"/>
        </w:rPr>
        <w:t>,</w:t>
      </w:r>
      <w:r w:rsidRPr="00E116B6" w:rsidR="00696734">
        <w:rPr>
          <w:lang w:val="en-GB"/>
        </w:rPr>
        <w:t xml:space="preserve"> factual circumstances of the case w</w:t>
      </w:r>
      <w:r w:rsidRPr="00E116B6" w:rsidR="00162B14">
        <w:rPr>
          <w:lang w:val="en-GB"/>
        </w:rPr>
        <w:t xml:space="preserve">as </w:t>
      </w:r>
      <w:r w:rsidRPr="00E116B6" w:rsidR="00696734">
        <w:rPr>
          <w:lang w:val="en-GB"/>
        </w:rPr>
        <w:t>given in the decisi</w:t>
      </w:r>
      <w:r w:rsidRPr="00E116B6" w:rsidR="006555F4">
        <w:rPr>
          <w:lang w:val="en-GB"/>
        </w:rPr>
        <w:t xml:space="preserve">on </w:t>
      </w:r>
      <w:r w:rsidRPr="00E116B6" w:rsidR="00696734">
        <w:rPr>
          <w:lang w:val="en-GB"/>
        </w:rPr>
        <w:t>of 10</w:t>
      </w:r>
      <w:r w:rsidRPr="00E116B6" w:rsidR="00B370DE">
        <w:rPr>
          <w:lang w:val="en-GB"/>
        </w:rPr>
        <w:t> </w:t>
      </w:r>
      <w:r w:rsidRPr="00E116B6" w:rsidR="00696734">
        <w:rPr>
          <w:lang w:val="en-GB"/>
        </w:rPr>
        <w:t>November 2004.</w:t>
      </w:r>
    </w:p>
    <w:p w:rsidRPr="00E116B6" w:rsidR="00D32B6C" w:rsidP="00E116B6" w:rsidRDefault="004C4CF3">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44</w:t>
      </w:r>
      <w:r w:rsidRPr="00E116B6">
        <w:rPr>
          <w:lang w:val="en-GB"/>
        </w:rPr>
        <w:fldChar w:fldCharType="end"/>
      </w:r>
      <w:r w:rsidRPr="00E116B6" w:rsidR="001C790D">
        <w:rPr>
          <w:lang w:val="en-GB"/>
        </w:rPr>
        <w:t>.  </w:t>
      </w:r>
      <w:r w:rsidRPr="00E116B6" w:rsidR="00D32B6C">
        <w:rPr>
          <w:lang w:val="en-GB"/>
        </w:rPr>
        <w:t>On 30</w:t>
      </w:r>
      <w:r w:rsidRPr="00E116B6" w:rsidR="001C790D">
        <w:rPr>
          <w:lang w:val="en-GB"/>
        </w:rPr>
        <w:t xml:space="preserve"> December 2004</w:t>
      </w:r>
      <w:r w:rsidRPr="00E116B6" w:rsidR="00D32B6C">
        <w:rPr>
          <w:lang w:val="en-GB"/>
        </w:rPr>
        <w:t xml:space="preserve"> the investigati</w:t>
      </w:r>
      <w:r w:rsidRPr="00E116B6" w:rsidR="006555F4">
        <w:rPr>
          <w:lang w:val="en-GB"/>
        </w:rPr>
        <w:t xml:space="preserve">on </w:t>
      </w:r>
      <w:r w:rsidRPr="00E116B6" w:rsidR="00D32B6C">
        <w:rPr>
          <w:lang w:val="en-GB"/>
        </w:rPr>
        <w:t xml:space="preserve">was completed, a bill of indictment was approved by the prosecutor and the case </w:t>
      </w:r>
      <w:r w:rsidRPr="00E116B6" w:rsidR="006F4E2B">
        <w:rPr>
          <w:lang w:val="en-GB"/>
        </w:rPr>
        <w:t xml:space="preserve">was </w:t>
      </w:r>
      <w:r w:rsidRPr="00E116B6" w:rsidR="00D32B6C">
        <w:rPr>
          <w:lang w:val="en-GB"/>
        </w:rPr>
        <w:t xml:space="preserve">sent for trial </w:t>
      </w:r>
      <w:r w:rsidRPr="00E116B6" w:rsidR="00240368">
        <w:rPr>
          <w:lang w:val="en-GB"/>
        </w:rPr>
        <w:t>to</w:t>
      </w:r>
      <w:r w:rsidRPr="00E116B6" w:rsidR="00D32B6C">
        <w:rPr>
          <w:lang w:val="en-GB"/>
        </w:rPr>
        <w:t xml:space="preserve"> the Tbilisi Regional Court.</w:t>
      </w:r>
    </w:p>
    <w:bookmarkStart w:name="detentionorder2" w:id="26"/>
    <w:p w:rsidRPr="00E116B6" w:rsidR="001E651D" w:rsidP="00E116B6" w:rsidRDefault="004C4CF3">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45</w:t>
      </w:r>
      <w:r w:rsidRPr="00E116B6">
        <w:rPr>
          <w:lang w:val="en-GB"/>
        </w:rPr>
        <w:fldChar w:fldCharType="end"/>
      </w:r>
      <w:bookmarkEnd w:id="26"/>
      <w:r w:rsidRPr="00E116B6" w:rsidR="001E651D">
        <w:rPr>
          <w:lang w:val="en-GB"/>
        </w:rPr>
        <w:t>.  On 7 June 2005</w:t>
      </w:r>
      <w:r w:rsidRPr="00E116B6" w:rsidR="00D32B6C">
        <w:rPr>
          <w:lang w:val="en-GB"/>
        </w:rPr>
        <w:t xml:space="preserve"> the Tbilisi Regional Court held a pre-trial conference hearing in the case, ruling to commit the applicant</w:t>
      </w:r>
      <w:r w:rsidRPr="00E116B6" w:rsidR="00DF43F4">
        <w:rPr>
          <w:lang w:val="en-GB"/>
        </w:rPr>
        <w:t>s</w:t>
      </w:r>
      <w:r w:rsidRPr="00E116B6" w:rsidR="00D32B6C">
        <w:rPr>
          <w:lang w:val="en-GB"/>
        </w:rPr>
        <w:t xml:space="preserve"> for trial as defendant</w:t>
      </w:r>
      <w:r w:rsidRPr="00E116B6" w:rsidR="00DF43F4">
        <w:rPr>
          <w:lang w:val="en-GB"/>
        </w:rPr>
        <w:t>s</w:t>
      </w:r>
      <w:r w:rsidRPr="00E116B6" w:rsidR="00D32B6C">
        <w:rPr>
          <w:lang w:val="en-GB"/>
        </w:rPr>
        <w:t xml:space="preserve">. </w:t>
      </w:r>
      <w:r w:rsidRPr="00E116B6" w:rsidR="001E651D">
        <w:rPr>
          <w:lang w:val="en-GB"/>
        </w:rPr>
        <w:t>Th</w:t>
      </w:r>
      <w:r w:rsidRPr="00E116B6" w:rsidR="0024315E">
        <w:rPr>
          <w:lang w:val="en-GB"/>
        </w:rPr>
        <w:t>e</w:t>
      </w:r>
      <w:r w:rsidRPr="00E116B6" w:rsidR="001E651D">
        <w:rPr>
          <w:lang w:val="en-GB"/>
        </w:rPr>
        <w:t xml:space="preserve"> decisi</w:t>
      </w:r>
      <w:r w:rsidRPr="00E116B6" w:rsidR="006555F4">
        <w:rPr>
          <w:lang w:val="en-GB"/>
        </w:rPr>
        <w:t xml:space="preserve">on </w:t>
      </w:r>
      <w:r w:rsidRPr="00E116B6" w:rsidR="001E651D">
        <w:rPr>
          <w:lang w:val="en-GB"/>
        </w:rPr>
        <w:t xml:space="preserve">was rendered in a standard, template form with pre-printed reasoning. The judge simply added in the blank spaces a brief statement of </w:t>
      </w:r>
      <w:r w:rsidRPr="00E116B6" w:rsidR="00F4778D">
        <w:rPr>
          <w:lang w:val="en-GB"/>
        </w:rPr>
        <w:t xml:space="preserve">the </w:t>
      </w:r>
      <w:r w:rsidRPr="00E116B6" w:rsidR="001E651D">
        <w:rPr>
          <w:lang w:val="en-GB"/>
        </w:rPr>
        <w:t>facts, the name</w:t>
      </w:r>
      <w:r w:rsidRPr="00E116B6" w:rsidR="00DF43F4">
        <w:rPr>
          <w:lang w:val="en-GB"/>
        </w:rPr>
        <w:t>s</w:t>
      </w:r>
      <w:r w:rsidRPr="00E116B6" w:rsidR="001E651D">
        <w:rPr>
          <w:lang w:val="en-GB"/>
        </w:rPr>
        <w:t xml:space="preserve"> of the accused, the definiti</w:t>
      </w:r>
      <w:r w:rsidRPr="00E116B6" w:rsidR="006555F4">
        <w:rPr>
          <w:lang w:val="en-GB"/>
        </w:rPr>
        <w:t xml:space="preserve">on </w:t>
      </w:r>
      <w:r w:rsidRPr="00E116B6" w:rsidR="001E651D">
        <w:rPr>
          <w:lang w:val="en-GB"/>
        </w:rPr>
        <w:t>of the impugned offence and the measure of pre-trial restraint. As regards the confirmati</w:t>
      </w:r>
      <w:r w:rsidRPr="00E116B6" w:rsidR="006555F4">
        <w:rPr>
          <w:lang w:val="en-GB"/>
        </w:rPr>
        <w:t xml:space="preserve">on </w:t>
      </w:r>
      <w:r w:rsidRPr="00E116B6" w:rsidR="001E651D">
        <w:rPr>
          <w:lang w:val="en-GB"/>
        </w:rPr>
        <w:t>of the latter, the printed standard phrase read as follows:</w:t>
      </w:r>
    </w:p>
    <w:p w:rsidRPr="00E116B6" w:rsidR="001E651D" w:rsidP="00E116B6" w:rsidRDefault="001E651D">
      <w:pPr>
        <w:pStyle w:val="ECHRParaQuote"/>
        <w:rPr>
          <w:lang w:val="en-GB"/>
        </w:rPr>
      </w:pPr>
      <w:r w:rsidRPr="00E116B6">
        <w:rPr>
          <w:lang w:val="en-GB"/>
        </w:rPr>
        <w:t>“The measure of pre-trial restraint – detenti</w:t>
      </w:r>
      <w:r w:rsidRPr="00E116B6" w:rsidR="006555F4">
        <w:rPr>
          <w:lang w:val="en-GB"/>
        </w:rPr>
        <w:t xml:space="preserve">on </w:t>
      </w:r>
      <w:r w:rsidRPr="00E116B6">
        <w:rPr>
          <w:lang w:val="en-GB"/>
        </w:rPr>
        <w:t>– has been chosen</w:t>
      </w:r>
      <w:r w:rsidRPr="00E116B6" w:rsidR="00F4778D">
        <w:rPr>
          <w:lang w:val="en-GB"/>
        </w:rPr>
        <w:t xml:space="preserve"> correctly</w:t>
      </w:r>
      <w:r w:rsidRPr="00E116B6">
        <w:rPr>
          <w:lang w:val="en-GB"/>
        </w:rPr>
        <w:t>.”</w:t>
      </w:r>
    </w:p>
    <w:p w:rsidRPr="00E116B6" w:rsidR="00C84988" w:rsidP="00E116B6" w:rsidRDefault="00C3616C">
      <w:pPr>
        <w:pStyle w:val="ECHRHeading2"/>
        <w:rPr>
          <w:lang w:val="en-GB"/>
        </w:rPr>
      </w:pPr>
      <w:r w:rsidRPr="00E116B6">
        <w:rPr>
          <w:lang w:val="en-GB"/>
        </w:rPr>
        <w:t>C</w:t>
      </w:r>
      <w:r w:rsidRPr="00E116B6" w:rsidR="006555F4">
        <w:rPr>
          <w:lang w:val="en-GB"/>
        </w:rPr>
        <w:t>.  </w:t>
      </w:r>
      <w:r w:rsidRPr="00E116B6" w:rsidR="001B1B8F">
        <w:rPr>
          <w:lang w:val="en-GB"/>
        </w:rPr>
        <w:t>Investigati</w:t>
      </w:r>
      <w:r w:rsidRPr="00E116B6" w:rsidR="006555F4">
        <w:rPr>
          <w:lang w:val="en-GB"/>
        </w:rPr>
        <w:t xml:space="preserve">on </w:t>
      </w:r>
      <w:r w:rsidRPr="00E116B6" w:rsidR="001B1B8F">
        <w:rPr>
          <w:lang w:val="en-GB"/>
        </w:rPr>
        <w:t>into the first applicant</w:t>
      </w:r>
      <w:r w:rsidRPr="00E116B6" w:rsidR="00E116B6">
        <w:rPr>
          <w:lang w:val="en-GB"/>
        </w:rPr>
        <w:t>’</w:t>
      </w:r>
      <w:r w:rsidRPr="00E116B6" w:rsidR="001B1B8F">
        <w:rPr>
          <w:lang w:val="en-GB"/>
        </w:rPr>
        <w:t>s allegations of ill-treatment</w:t>
      </w:r>
    </w:p>
    <w:bookmarkStart w:name="criminveststart" w:id="27"/>
    <w:p w:rsidRPr="00E116B6" w:rsidR="00C84988" w:rsidP="00E116B6" w:rsidRDefault="004C4CF3">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46</w:t>
      </w:r>
      <w:r w:rsidRPr="00E116B6">
        <w:rPr>
          <w:lang w:val="en-GB"/>
        </w:rPr>
        <w:fldChar w:fldCharType="end"/>
      </w:r>
      <w:bookmarkEnd w:id="27"/>
      <w:r w:rsidRPr="00E116B6" w:rsidR="00C84988">
        <w:rPr>
          <w:lang w:val="en-GB"/>
        </w:rPr>
        <w:t>.  On 7 September 2004 the first applicant lodged a</w:t>
      </w:r>
      <w:r w:rsidRPr="00E116B6" w:rsidR="00CE7483">
        <w:rPr>
          <w:lang w:val="en-GB"/>
        </w:rPr>
        <w:t xml:space="preserve"> criminal</w:t>
      </w:r>
      <w:r w:rsidRPr="00E116B6" w:rsidR="00C84988">
        <w:rPr>
          <w:lang w:val="en-GB"/>
        </w:rPr>
        <w:t xml:space="preserve"> complaint with the Chief Public Prosecutor</w:t>
      </w:r>
      <w:r w:rsidRPr="00E116B6" w:rsidR="00E116B6">
        <w:rPr>
          <w:lang w:val="en-GB"/>
        </w:rPr>
        <w:t>’</w:t>
      </w:r>
      <w:r w:rsidRPr="00E116B6" w:rsidR="00C84988">
        <w:rPr>
          <w:lang w:val="en-GB"/>
        </w:rPr>
        <w:t>s Office</w:t>
      </w:r>
      <w:r w:rsidRPr="00E116B6" w:rsidR="00162950">
        <w:rPr>
          <w:lang w:val="en-GB"/>
        </w:rPr>
        <w:t>,</w:t>
      </w:r>
      <w:r w:rsidRPr="00E116B6" w:rsidR="00C84988">
        <w:rPr>
          <w:lang w:val="en-GB"/>
        </w:rPr>
        <w:t xml:space="preserve"> alleging that he had been subjected to ill-treatment </w:t>
      </w:r>
      <w:r w:rsidRPr="00E116B6" w:rsidR="006555F4">
        <w:rPr>
          <w:lang w:val="en-GB"/>
        </w:rPr>
        <w:t xml:space="preserve">on </w:t>
      </w:r>
      <w:r w:rsidRPr="00E116B6" w:rsidR="00C84988">
        <w:rPr>
          <w:lang w:val="en-GB"/>
        </w:rPr>
        <w:t>13 May 2004</w:t>
      </w:r>
      <w:r w:rsidRPr="00E116B6" w:rsidR="00F4778D">
        <w:rPr>
          <w:lang w:val="en-GB"/>
        </w:rPr>
        <w:t xml:space="preserve"> and </w:t>
      </w:r>
      <w:r w:rsidRPr="00E116B6" w:rsidR="00C84988">
        <w:rPr>
          <w:lang w:val="en-GB"/>
        </w:rPr>
        <w:t>requesting a</w:t>
      </w:r>
      <w:r w:rsidRPr="00E116B6" w:rsidR="00CE7483">
        <w:rPr>
          <w:lang w:val="en-GB"/>
        </w:rPr>
        <w:t>n</w:t>
      </w:r>
      <w:r w:rsidRPr="00E116B6" w:rsidR="00C84988">
        <w:rPr>
          <w:lang w:val="en-GB"/>
        </w:rPr>
        <w:t xml:space="preserve"> investigation. He </w:t>
      </w:r>
      <w:r w:rsidRPr="00E116B6" w:rsidR="00CE7483">
        <w:rPr>
          <w:lang w:val="en-GB"/>
        </w:rPr>
        <w:t>specified</w:t>
      </w:r>
      <w:r w:rsidRPr="00E116B6" w:rsidR="00C84988">
        <w:rPr>
          <w:lang w:val="en-GB"/>
        </w:rPr>
        <w:t xml:space="preserve"> that at around 10 a.m. he had been taken to </w:t>
      </w:r>
      <w:r w:rsidRPr="00E116B6" w:rsidR="00CE7483">
        <w:rPr>
          <w:lang w:val="en-GB"/>
        </w:rPr>
        <w:t>police headquarters in Tbilisi</w:t>
      </w:r>
      <w:r w:rsidRPr="00E116B6" w:rsidR="00C84988">
        <w:rPr>
          <w:lang w:val="en-GB"/>
        </w:rPr>
        <w:t xml:space="preserve"> and placed in a room </w:t>
      </w:r>
      <w:r w:rsidRPr="00E116B6" w:rsidR="006555F4">
        <w:rPr>
          <w:lang w:val="en-GB"/>
        </w:rPr>
        <w:t xml:space="preserve">on </w:t>
      </w:r>
      <w:r w:rsidRPr="00E116B6" w:rsidR="00C84988">
        <w:rPr>
          <w:lang w:val="en-GB"/>
        </w:rPr>
        <w:t xml:space="preserve">the twelfth floor. He had been </w:t>
      </w:r>
      <w:r w:rsidRPr="00E116B6" w:rsidR="00F4778D">
        <w:rPr>
          <w:lang w:val="en-GB"/>
        </w:rPr>
        <w:t xml:space="preserve">given </w:t>
      </w:r>
      <w:r w:rsidRPr="00E116B6" w:rsidR="00C84988">
        <w:rPr>
          <w:lang w:val="en-GB"/>
        </w:rPr>
        <w:t xml:space="preserve">electric shocks and beaten. The surname of the officer </w:t>
      </w:r>
      <w:r w:rsidRPr="00E116B6" w:rsidR="00275B76">
        <w:rPr>
          <w:lang w:val="en-GB"/>
        </w:rPr>
        <w:t xml:space="preserve">who </w:t>
      </w:r>
      <w:r w:rsidRPr="00E116B6" w:rsidR="00F4778D">
        <w:rPr>
          <w:lang w:val="en-GB"/>
        </w:rPr>
        <w:t xml:space="preserve">had </w:t>
      </w:r>
      <w:r w:rsidRPr="00E116B6" w:rsidR="00053E79">
        <w:rPr>
          <w:lang w:val="en-GB"/>
        </w:rPr>
        <w:t>held a weap</w:t>
      </w:r>
      <w:r w:rsidRPr="00E116B6" w:rsidR="006555F4">
        <w:rPr>
          <w:lang w:val="en-GB"/>
        </w:rPr>
        <w:t xml:space="preserve">on </w:t>
      </w:r>
      <w:r w:rsidRPr="00E116B6" w:rsidR="00053E79">
        <w:rPr>
          <w:lang w:val="en-GB"/>
        </w:rPr>
        <w:t>to his head and forced him to sign a pre-prepared confessi</w:t>
      </w:r>
      <w:r w:rsidRPr="00E116B6" w:rsidR="006555F4">
        <w:rPr>
          <w:lang w:val="en-GB"/>
        </w:rPr>
        <w:t xml:space="preserve">on </w:t>
      </w:r>
      <w:r w:rsidRPr="00E116B6" w:rsidR="00C84988">
        <w:rPr>
          <w:lang w:val="en-GB"/>
        </w:rPr>
        <w:t xml:space="preserve">was </w:t>
      </w:r>
      <w:r w:rsidRPr="00E116B6" w:rsidR="00570824">
        <w:rPr>
          <w:lang w:val="en-GB"/>
        </w:rPr>
        <w:t>D.</w:t>
      </w:r>
      <w:r w:rsidRPr="00E116B6" w:rsidR="00055277">
        <w:rPr>
          <w:lang w:val="en-GB"/>
        </w:rPr>
        <w:t> </w:t>
      </w:r>
      <w:r w:rsidRPr="00E116B6" w:rsidR="00C84988">
        <w:rPr>
          <w:lang w:val="en-GB"/>
        </w:rPr>
        <w:t>K</w:t>
      </w:r>
      <w:r w:rsidRPr="00E116B6" w:rsidR="00CC208C">
        <w:rPr>
          <w:lang w:val="en-GB"/>
        </w:rPr>
        <w:t>.</w:t>
      </w:r>
      <w:r w:rsidRPr="00E116B6" w:rsidR="00C84988">
        <w:rPr>
          <w:lang w:val="en-GB"/>
        </w:rPr>
        <w:t xml:space="preserve"> </w:t>
      </w:r>
      <w:r w:rsidRPr="00E116B6" w:rsidR="00D95AFD">
        <w:rPr>
          <w:lang w:val="en-GB"/>
        </w:rPr>
        <w:t>Two other</w:t>
      </w:r>
      <w:r w:rsidRPr="00E116B6" w:rsidR="00C84988">
        <w:rPr>
          <w:lang w:val="en-GB"/>
        </w:rPr>
        <w:t xml:space="preserve"> officer</w:t>
      </w:r>
      <w:r w:rsidRPr="00E116B6" w:rsidR="00D95AFD">
        <w:rPr>
          <w:lang w:val="en-GB"/>
        </w:rPr>
        <w:t>s</w:t>
      </w:r>
      <w:r w:rsidRPr="00E116B6" w:rsidR="00C84988">
        <w:rPr>
          <w:lang w:val="en-GB"/>
        </w:rPr>
        <w:t xml:space="preserve">, </w:t>
      </w:r>
      <w:r w:rsidRPr="00E116B6" w:rsidR="00570824">
        <w:rPr>
          <w:lang w:val="en-GB"/>
        </w:rPr>
        <w:t xml:space="preserve">K. </w:t>
      </w:r>
      <w:r w:rsidRPr="00E116B6" w:rsidR="00C84988">
        <w:rPr>
          <w:lang w:val="en-GB"/>
        </w:rPr>
        <w:t>Ch</w:t>
      </w:r>
      <w:r w:rsidRPr="00E116B6" w:rsidR="00CC208C">
        <w:rPr>
          <w:lang w:val="en-GB"/>
        </w:rPr>
        <w:t xml:space="preserve">. </w:t>
      </w:r>
      <w:r w:rsidRPr="00E116B6" w:rsidR="00D95AFD">
        <w:rPr>
          <w:lang w:val="en-GB"/>
        </w:rPr>
        <w:t xml:space="preserve">and </w:t>
      </w:r>
      <w:r w:rsidRPr="00E116B6" w:rsidR="00570824">
        <w:rPr>
          <w:lang w:val="en-GB"/>
        </w:rPr>
        <w:t xml:space="preserve">D. </w:t>
      </w:r>
      <w:r w:rsidRPr="00E116B6" w:rsidR="00D95AFD">
        <w:rPr>
          <w:lang w:val="en-GB"/>
        </w:rPr>
        <w:t>En</w:t>
      </w:r>
      <w:r w:rsidRPr="00E116B6" w:rsidR="00CC208C">
        <w:rPr>
          <w:lang w:val="en-GB"/>
        </w:rPr>
        <w:t>.</w:t>
      </w:r>
      <w:r w:rsidRPr="00E116B6" w:rsidR="00C84988">
        <w:rPr>
          <w:lang w:val="en-GB"/>
        </w:rPr>
        <w:t xml:space="preserve">, had </w:t>
      </w:r>
      <w:r w:rsidRPr="00E116B6" w:rsidR="00F4778D">
        <w:rPr>
          <w:lang w:val="en-GB"/>
        </w:rPr>
        <w:t xml:space="preserve">also </w:t>
      </w:r>
      <w:r w:rsidRPr="00E116B6" w:rsidR="00C84988">
        <w:rPr>
          <w:lang w:val="en-GB"/>
        </w:rPr>
        <w:t xml:space="preserve">participated. Other police officers had also been involved, </w:t>
      </w:r>
      <w:r w:rsidRPr="00E116B6" w:rsidR="00275B76">
        <w:rPr>
          <w:lang w:val="en-GB"/>
        </w:rPr>
        <w:t>and whil</w:t>
      </w:r>
      <w:r w:rsidRPr="00E116B6" w:rsidR="00F4778D">
        <w:rPr>
          <w:lang w:val="en-GB"/>
        </w:rPr>
        <w:t>e</w:t>
      </w:r>
      <w:r w:rsidRPr="00E116B6" w:rsidR="00C84988">
        <w:rPr>
          <w:lang w:val="en-GB"/>
        </w:rPr>
        <w:t xml:space="preserve"> </w:t>
      </w:r>
      <w:r w:rsidRPr="00E116B6" w:rsidR="00275B76">
        <w:rPr>
          <w:lang w:val="en-GB"/>
        </w:rPr>
        <w:t xml:space="preserve">the applicant did not recall their names, he stated that </w:t>
      </w:r>
      <w:r w:rsidRPr="00E116B6" w:rsidR="00C84988">
        <w:rPr>
          <w:lang w:val="en-GB"/>
        </w:rPr>
        <w:t>he would be able to identify them</w:t>
      </w:r>
      <w:r w:rsidRPr="00E116B6" w:rsidR="00275B76">
        <w:rPr>
          <w:lang w:val="en-GB"/>
        </w:rPr>
        <w:t xml:space="preserve"> if confronted</w:t>
      </w:r>
      <w:r w:rsidRPr="00E116B6" w:rsidR="00F4778D">
        <w:rPr>
          <w:lang w:val="en-GB"/>
        </w:rPr>
        <w:t xml:space="preserve"> with them</w:t>
      </w:r>
      <w:r w:rsidRPr="00E116B6" w:rsidR="00C84988">
        <w:rPr>
          <w:lang w:val="en-GB"/>
        </w:rPr>
        <w:t xml:space="preserve">. </w:t>
      </w:r>
      <w:r w:rsidRPr="00E116B6" w:rsidR="00984E0C">
        <w:rPr>
          <w:lang w:val="en-GB"/>
        </w:rPr>
        <w:t xml:space="preserve">He had also been beaten </w:t>
      </w:r>
      <w:r w:rsidRPr="00E116B6" w:rsidR="006555F4">
        <w:rPr>
          <w:lang w:val="en-GB"/>
        </w:rPr>
        <w:t xml:space="preserve">on </w:t>
      </w:r>
      <w:r w:rsidRPr="00E116B6" w:rsidR="00984E0C">
        <w:rPr>
          <w:lang w:val="en-GB"/>
        </w:rPr>
        <w:t>the neck with a square padlock. He had passed out wh</w:t>
      </w:r>
      <w:r w:rsidRPr="00E116B6" w:rsidR="00D95AFD">
        <w:rPr>
          <w:lang w:val="en-GB"/>
        </w:rPr>
        <w:t xml:space="preserve">ile being given </w:t>
      </w:r>
      <w:r w:rsidRPr="00E116B6" w:rsidR="00F4778D">
        <w:rPr>
          <w:lang w:val="en-GB"/>
        </w:rPr>
        <w:t xml:space="preserve">the </w:t>
      </w:r>
      <w:r w:rsidRPr="00E116B6" w:rsidR="00D95AFD">
        <w:rPr>
          <w:lang w:val="en-GB"/>
        </w:rPr>
        <w:t xml:space="preserve">electric shocks and the police officers </w:t>
      </w:r>
      <w:r w:rsidRPr="00E116B6" w:rsidR="00F4778D">
        <w:rPr>
          <w:lang w:val="en-GB"/>
        </w:rPr>
        <w:t xml:space="preserve">had </w:t>
      </w:r>
      <w:r w:rsidRPr="00E116B6" w:rsidR="00D95AFD">
        <w:rPr>
          <w:lang w:val="en-GB"/>
        </w:rPr>
        <w:t xml:space="preserve">poured water </w:t>
      </w:r>
      <w:r w:rsidRPr="00E116B6" w:rsidR="006555F4">
        <w:rPr>
          <w:lang w:val="en-GB"/>
        </w:rPr>
        <w:t xml:space="preserve">on </w:t>
      </w:r>
      <w:r w:rsidRPr="00E116B6" w:rsidR="00D95AFD">
        <w:rPr>
          <w:lang w:val="en-GB"/>
        </w:rPr>
        <w:t>his head to bring him around</w:t>
      </w:r>
      <w:r w:rsidRPr="00E116B6" w:rsidR="00F4778D">
        <w:rPr>
          <w:lang w:val="en-GB"/>
        </w:rPr>
        <w:t>.</w:t>
      </w:r>
      <w:r w:rsidRPr="00E116B6" w:rsidR="00984E0C">
        <w:rPr>
          <w:lang w:val="en-GB"/>
        </w:rPr>
        <w:t xml:space="preserve"> When he had regained consciousness, a doctor </w:t>
      </w:r>
      <w:r w:rsidRPr="00E116B6" w:rsidR="00F4778D">
        <w:rPr>
          <w:lang w:val="en-GB"/>
        </w:rPr>
        <w:t xml:space="preserve">had been </w:t>
      </w:r>
      <w:r w:rsidRPr="00E116B6" w:rsidR="00984E0C">
        <w:rPr>
          <w:lang w:val="en-GB"/>
        </w:rPr>
        <w:t>there</w:t>
      </w:r>
      <w:r w:rsidRPr="00E116B6" w:rsidR="00F4778D">
        <w:rPr>
          <w:lang w:val="en-GB"/>
        </w:rPr>
        <w:t xml:space="preserve"> </w:t>
      </w:r>
      <w:r w:rsidRPr="00E116B6" w:rsidR="00984E0C">
        <w:rPr>
          <w:lang w:val="en-GB"/>
        </w:rPr>
        <w:t xml:space="preserve">who </w:t>
      </w:r>
      <w:r w:rsidRPr="00E116B6" w:rsidR="00F4778D">
        <w:rPr>
          <w:lang w:val="en-GB"/>
        </w:rPr>
        <w:t xml:space="preserve">had </w:t>
      </w:r>
      <w:r w:rsidRPr="00E116B6" w:rsidR="00984E0C">
        <w:rPr>
          <w:lang w:val="en-GB"/>
        </w:rPr>
        <w:t xml:space="preserve">said that he needed </w:t>
      </w:r>
      <w:r w:rsidRPr="00E116B6" w:rsidR="0021303E">
        <w:rPr>
          <w:lang w:val="en-GB"/>
        </w:rPr>
        <w:t>an injecti</w:t>
      </w:r>
      <w:r w:rsidRPr="00E116B6" w:rsidR="006555F4">
        <w:rPr>
          <w:lang w:val="en-GB"/>
        </w:rPr>
        <w:t xml:space="preserve">on </w:t>
      </w:r>
      <w:r w:rsidRPr="00E116B6" w:rsidR="0021303E">
        <w:rPr>
          <w:lang w:val="en-GB"/>
        </w:rPr>
        <w:t xml:space="preserve">of </w:t>
      </w:r>
      <w:r w:rsidRPr="00E116B6" w:rsidR="00B9373F">
        <w:rPr>
          <w:lang w:val="en-GB"/>
        </w:rPr>
        <w:t>a sedative</w:t>
      </w:r>
      <w:r w:rsidRPr="00E116B6" w:rsidR="0021303E">
        <w:rPr>
          <w:lang w:val="en-GB"/>
        </w:rPr>
        <w:t>, but the doctor</w:t>
      </w:r>
      <w:r w:rsidRPr="00E116B6" w:rsidR="00E116B6">
        <w:rPr>
          <w:lang w:val="en-GB"/>
        </w:rPr>
        <w:t>’</w:t>
      </w:r>
      <w:r w:rsidRPr="00E116B6" w:rsidR="0021303E">
        <w:rPr>
          <w:lang w:val="en-GB"/>
        </w:rPr>
        <w:t>s recommendati</w:t>
      </w:r>
      <w:r w:rsidRPr="00E116B6" w:rsidR="006555F4">
        <w:rPr>
          <w:lang w:val="en-GB"/>
        </w:rPr>
        <w:t xml:space="preserve">on </w:t>
      </w:r>
      <w:r w:rsidRPr="00E116B6" w:rsidR="00F4778D">
        <w:rPr>
          <w:lang w:val="en-GB"/>
        </w:rPr>
        <w:t>had been ignored</w:t>
      </w:r>
      <w:r w:rsidRPr="00E116B6" w:rsidR="00984E0C">
        <w:rPr>
          <w:lang w:val="en-GB"/>
        </w:rPr>
        <w:t xml:space="preserve">. The first applicant had then been told </w:t>
      </w:r>
      <w:r w:rsidRPr="00E116B6" w:rsidR="00D95AFD">
        <w:rPr>
          <w:lang w:val="en-GB"/>
        </w:rPr>
        <w:t xml:space="preserve">by the police officers </w:t>
      </w:r>
      <w:r w:rsidRPr="00E116B6" w:rsidR="00984E0C">
        <w:rPr>
          <w:lang w:val="en-GB"/>
        </w:rPr>
        <w:t>that his flat had already been visited</w:t>
      </w:r>
      <w:r w:rsidRPr="00E116B6" w:rsidR="00D95AFD">
        <w:rPr>
          <w:lang w:val="en-GB"/>
        </w:rPr>
        <w:t xml:space="preserve">, </w:t>
      </w:r>
      <w:r w:rsidRPr="00E116B6" w:rsidR="00CE7483">
        <w:rPr>
          <w:lang w:val="en-GB"/>
        </w:rPr>
        <w:t xml:space="preserve">drugs </w:t>
      </w:r>
      <w:r w:rsidRPr="00E116B6" w:rsidR="00D95AFD">
        <w:rPr>
          <w:lang w:val="en-GB"/>
        </w:rPr>
        <w:t>had been planted there,</w:t>
      </w:r>
      <w:r w:rsidRPr="00E116B6" w:rsidR="00984E0C">
        <w:rPr>
          <w:lang w:val="en-GB"/>
        </w:rPr>
        <w:t xml:space="preserve"> and that his wife could easily be arrested. </w:t>
      </w:r>
      <w:r w:rsidRPr="00E116B6" w:rsidR="00CE7483">
        <w:rPr>
          <w:lang w:val="en-GB"/>
        </w:rPr>
        <w:t>Up</w:t>
      </w:r>
      <w:r w:rsidRPr="00E116B6" w:rsidR="006555F4">
        <w:rPr>
          <w:lang w:val="en-GB"/>
        </w:rPr>
        <w:t xml:space="preserve">on </w:t>
      </w:r>
      <w:r w:rsidRPr="00E116B6" w:rsidR="00984E0C">
        <w:rPr>
          <w:lang w:val="en-GB"/>
        </w:rPr>
        <w:t xml:space="preserve">his transfer to </w:t>
      </w:r>
      <w:r w:rsidRPr="00E116B6" w:rsidR="00CE7483">
        <w:rPr>
          <w:lang w:val="en-GB"/>
        </w:rPr>
        <w:t>Tbilisi</w:t>
      </w:r>
      <w:r w:rsidRPr="00E116B6" w:rsidR="00E116B6">
        <w:rPr>
          <w:lang w:val="en-GB"/>
        </w:rPr>
        <w:t>’</w:t>
      </w:r>
      <w:r w:rsidRPr="00E116B6" w:rsidR="00F4778D">
        <w:rPr>
          <w:lang w:val="en-GB"/>
        </w:rPr>
        <w:t>s</w:t>
      </w:r>
      <w:r w:rsidRPr="00E116B6" w:rsidR="00CE7483">
        <w:rPr>
          <w:lang w:val="en-GB"/>
        </w:rPr>
        <w:t xml:space="preserve"> </w:t>
      </w:r>
      <w:r w:rsidRPr="00E116B6" w:rsidR="00F4778D">
        <w:rPr>
          <w:lang w:val="en-GB"/>
        </w:rPr>
        <w:t>P</w:t>
      </w:r>
      <w:r w:rsidRPr="00E116B6" w:rsidR="00984E0C">
        <w:rPr>
          <w:lang w:val="en-GB"/>
        </w:rPr>
        <w:t>ris</w:t>
      </w:r>
      <w:r w:rsidRPr="00E116B6" w:rsidR="006555F4">
        <w:rPr>
          <w:lang w:val="en-GB"/>
        </w:rPr>
        <w:t xml:space="preserve">on </w:t>
      </w:r>
      <w:r w:rsidRPr="00E116B6" w:rsidR="00984E0C">
        <w:rPr>
          <w:lang w:val="en-GB"/>
        </w:rPr>
        <w:t xml:space="preserve">no. 7 </w:t>
      </w:r>
      <w:r w:rsidRPr="00E116B6" w:rsidR="006555F4">
        <w:rPr>
          <w:lang w:val="en-GB"/>
        </w:rPr>
        <w:t xml:space="preserve">on </w:t>
      </w:r>
      <w:r w:rsidRPr="00E116B6" w:rsidR="00984E0C">
        <w:rPr>
          <w:lang w:val="en-GB"/>
        </w:rPr>
        <w:t xml:space="preserve">the night of 16 to17 May 2004, the </w:t>
      </w:r>
      <w:r w:rsidRPr="00E116B6" w:rsidR="00CE7483">
        <w:rPr>
          <w:lang w:val="en-GB"/>
        </w:rPr>
        <w:t>pris</w:t>
      </w:r>
      <w:r w:rsidRPr="00E116B6" w:rsidR="006555F4">
        <w:rPr>
          <w:lang w:val="en-GB"/>
        </w:rPr>
        <w:t xml:space="preserve">on </w:t>
      </w:r>
      <w:r w:rsidRPr="00E116B6" w:rsidR="00984E0C">
        <w:rPr>
          <w:lang w:val="en-GB"/>
        </w:rPr>
        <w:t>doctor had asked him, in the presence of the police officers, if he had been beaten, but he had denied it for fear that the ill-treatment would resume</w:t>
      </w:r>
      <w:r w:rsidRPr="00E116B6" w:rsidR="00F4778D">
        <w:rPr>
          <w:lang w:val="en-GB"/>
        </w:rPr>
        <w:t>.</w:t>
      </w:r>
    </w:p>
    <w:p w:rsidRPr="00E116B6" w:rsidR="00275B76" w:rsidP="00E116B6" w:rsidRDefault="004C4CF3">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47</w:t>
      </w:r>
      <w:r w:rsidRPr="00E116B6">
        <w:rPr>
          <w:lang w:val="en-GB"/>
        </w:rPr>
        <w:fldChar w:fldCharType="end"/>
      </w:r>
      <w:r w:rsidRPr="00E116B6" w:rsidR="00275B76">
        <w:rPr>
          <w:lang w:val="en-GB"/>
        </w:rPr>
        <w:t>.  On 9 September 2004 the C</w:t>
      </w:r>
      <w:r w:rsidRPr="00E116B6" w:rsidR="00CE7483">
        <w:rPr>
          <w:lang w:val="en-GB"/>
        </w:rPr>
        <w:t>PPO</w:t>
      </w:r>
      <w:r w:rsidRPr="00E116B6" w:rsidR="00275B76">
        <w:rPr>
          <w:lang w:val="en-GB"/>
        </w:rPr>
        <w:t xml:space="preserve"> referred </w:t>
      </w:r>
      <w:r w:rsidRPr="00E116B6" w:rsidR="00CE7483">
        <w:rPr>
          <w:lang w:val="en-GB"/>
        </w:rPr>
        <w:t>the complaint of 7</w:t>
      </w:r>
      <w:r w:rsidRPr="00E116B6" w:rsidR="0000400E">
        <w:rPr>
          <w:lang w:val="en-GB"/>
        </w:rPr>
        <w:t> </w:t>
      </w:r>
      <w:r w:rsidRPr="00E116B6" w:rsidR="00CE7483">
        <w:rPr>
          <w:lang w:val="en-GB"/>
        </w:rPr>
        <w:t>September 2004</w:t>
      </w:r>
      <w:r w:rsidRPr="00E116B6" w:rsidR="00275B76">
        <w:rPr>
          <w:lang w:val="en-GB"/>
        </w:rPr>
        <w:t xml:space="preserve"> to the </w:t>
      </w:r>
      <w:r w:rsidRPr="00E116B6" w:rsidR="00CE7483">
        <w:rPr>
          <w:lang w:val="en-GB"/>
        </w:rPr>
        <w:t xml:space="preserve">Tbilisi </w:t>
      </w:r>
      <w:r w:rsidRPr="00E116B6" w:rsidR="00275B76">
        <w:rPr>
          <w:lang w:val="en-GB"/>
        </w:rPr>
        <w:t>city prosecutor and the investigator in person, asking them to take acti</w:t>
      </w:r>
      <w:r w:rsidRPr="00E116B6" w:rsidR="006555F4">
        <w:rPr>
          <w:lang w:val="en-GB"/>
        </w:rPr>
        <w:t xml:space="preserve">on </w:t>
      </w:r>
      <w:r w:rsidRPr="00E116B6" w:rsidR="00275B76">
        <w:rPr>
          <w:lang w:val="en-GB"/>
        </w:rPr>
        <w:t xml:space="preserve">and to inform the Chief Prosecutor of their response. On 5 October 2004 the investigator replied to the first applicant directly, informing him that his </w:t>
      </w:r>
      <w:r w:rsidRPr="00E116B6" w:rsidR="00D55FB0">
        <w:rPr>
          <w:lang w:val="en-GB"/>
        </w:rPr>
        <w:t xml:space="preserve">criminal </w:t>
      </w:r>
      <w:r w:rsidRPr="00E116B6" w:rsidR="00F4778D">
        <w:rPr>
          <w:lang w:val="en-GB"/>
        </w:rPr>
        <w:t xml:space="preserve">complaint </w:t>
      </w:r>
      <w:r w:rsidRPr="00E116B6" w:rsidR="00D55FB0">
        <w:rPr>
          <w:lang w:val="en-GB"/>
        </w:rPr>
        <w:t>about ill</w:t>
      </w:r>
      <w:r w:rsidRPr="00E116B6" w:rsidR="00286755">
        <w:rPr>
          <w:lang w:val="en-GB"/>
        </w:rPr>
        <w:noBreakHyphen/>
      </w:r>
      <w:r w:rsidRPr="00E116B6" w:rsidR="00D55FB0">
        <w:rPr>
          <w:lang w:val="en-GB"/>
        </w:rPr>
        <w:t xml:space="preserve">treatment </w:t>
      </w:r>
      <w:r w:rsidRPr="00E116B6" w:rsidR="00275B76">
        <w:rPr>
          <w:lang w:val="en-GB"/>
        </w:rPr>
        <w:t xml:space="preserve">had been rejected as </w:t>
      </w:r>
      <w:r w:rsidRPr="00E116B6" w:rsidR="00D55FB0">
        <w:rPr>
          <w:lang w:val="en-GB"/>
        </w:rPr>
        <w:t>unsubstantiated as the applicant had not supported it with evidence</w:t>
      </w:r>
      <w:r w:rsidRPr="00E116B6" w:rsidR="00275B76">
        <w:rPr>
          <w:lang w:val="en-GB"/>
        </w:rPr>
        <w:t>.</w:t>
      </w:r>
    </w:p>
    <w:bookmarkStart w:name="complaintdate4" w:id="28"/>
    <w:p w:rsidRPr="00E116B6" w:rsidR="007D72A0" w:rsidP="00E116B6" w:rsidRDefault="004C4CF3">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48</w:t>
      </w:r>
      <w:r w:rsidRPr="00E116B6">
        <w:rPr>
          <w:lang w:val="en-GB"/>
        </w:rPr>
        <w:fldChar w:fldCharType="end"/>
      </w:r>
      <w:bookmarkEnd w:id="28"/>
      <w:r w:rsidRPr="00E116B6" w:rsidR="00D55FB0">
        <w:rPr>
          <w:lang w:val="en-GB"/>
        </w:rPr>
        <w:t>.  On 8 October 2004</w:t>
      </w:r>
      <w:r w:rsidRPr="00E116B6" w:rsidR="006F3799">
        <w:rPr>
          <w:lang w:val="en-GB"/>
        </w:rPr>
        <w:t xml:space="preserve"> the first applicant</w:t>
      </w:r>
      <w:r w:rsidRPr="00E116B6" w:rsidR="00E116B6">
        <w:rPr>
          <w:lang w:val="en-GB"/>
        </w:rPr>
        <w:t>’</w:t>
      </w:r>
      <w:r w:rsidRPr="00E116B6" w:rsidR="006F3799">
        <w:rPr>
          <w:lang w:val="en-GB"/>
        </w:rPr>
        <w:t>s wife complained to the Inspectorate General of the C</w:t>
      </w:r>
      <w:r w:rsidRPr="00E116B6" w:rsidR="00CE7483">
        <w:rPr>
          <w:lang w:val="en-GB"/>
        </w:rPr>
        <w:t>PPO</w:t>
      </w:r>
      <w:r w:rsidRPr="00E116B6" w:rsidR="006F3799">
        <w:rPr>
          <w:lang w:val="en-GB"/>
        </w:rPr>
        <w:t xml:space="preserve"> and the Inspectorate General of the Ministry of the Interior </w:t>
      </w:r>
      <w:r w:rsidRPr="00E116B6" w:rsidR="00F4778D">
        <w:rPr>
          <w:lang w:val="en-GB"/>
        </w:rPr>
        <w:t xml:space="preserve">that </w:t>
      </w:r>
      <w:r w:rsidRPr="00E116B6" w:rsidR="006F3799">
        <w:rPr>
          <w:lang w:val="en-GB"/>
        </w:rPr>
        <w:t>her husband</w:t>
      </w:r>
      <w:r w:rsidRPr="00E116B6" w:rsidR="00F4778D">
        <w:rPr>
          <w:lang w:val="en-GB"/>
        </w:rPr>
        <w:t xml:space="preserve"> had been </w:t>
      </w:r>
      <w:r w:rsidRPr="00E116B6" w:rsidR="006F3799">
        <w:rPr>
          <w:lang w:val="en-GB"/>
        </w:rPr>
        <w:t>ill-treat</w:t>
      </w:r>
      <w:r w:rsidRPr="00E116B6" w:rsidR="00F4778D">
        <w:rPr>
          <w:lang w:val="en-GB"/>
        </w:rPr>
        <w:t xml:space="preserve">ed by </w:t>
      </w:r>
      <w:r w:rsidRPr="00E116B6" w:rsidR="006F3799">
        <w:rPr>
          <w:lang w:val="en-GB"/>
        </w:rPr>
        <w:t xml:space="preserve">police officers and </w:t>
      </w:r>
      <w:r w:rsidRPr="00E116B6" w:rsidR="00F8626C">
        <w:rPr>
          <w:lang w:val="en-GB"/>
        </w:rPr>
        <w:t xml:space="preserve">that there had been </w:t>
      </w:r>
      <w:r w:rsidRPr="00E116B6" w:rsidR="00F4778D">
        <w:rPr>
          <w:lang w:val="en-GB"/>
        </w:rPr>
        <w:t xml:space="preserve">a lack of response by </w:t>
      </w:r>
      <w:r w:rsidRPr="00E116B6" w:rsidR="006F3799">
        <w:rPr>
          <w:lang w:val="en-GB"/>
        </w:rPr>
        <w:t>the investigator and the</w:t>
      </w:r>
      <w:r w:rsidRPr="00E116B6" w:rsidR="00CE7483">
        <w:rPr>
          <w:lang w:val="en-GB"/>
        </w:rPr>
        <w:t xml:space="preserve"> Tbilisi</w:t>
      </w:r>
      <w:r w:rsidRPr="00E116B6" w:rsidR="006F3799">
        <w:rPr>
          <w:lang w:val="en-GB"/>
        </w:rPr>
        <w:t xml:space="preserve"> city prosecutor to her various previous complaints. She asked for the investigator to be removed from the case and for th</w:t>
      </w:r>
      <w:r w:rsidRPr="00E116B6" w:rsidR="00F8626C">
        <w:rPr>
          <w:lang w:val="en-GB"/>
        </w:rPr>
        <w:t xml:space="preserve">ose who had carried out </w:t>
      </w:r>
      <w:r w:rsidRPr="00E116B6" w:rsidR="006F3799">
        <w:rPr>
          <w:lang w:val="en-GB"/>
        </w:rPr>
        <w:t xml:space="preserve">the ill-treatment to be identified and punished. In support of her request, she attached a copy of a report dated </w:t>
      </w:r>
      <w:r w:rsidRPr="00E116B6" w:rsidR="00FE41AB">
        <w:rPr>
          <w:lang w:val="en-GB"/>
        </w:rPr>
        <w:t xml:space="preserve">29 September 2004 </w:t>
      </w:r>
      <w:r w:rsidRPr="00E116B6" w:rsidR="006555F4">
        <w:rPr>
          <w:lang w:val="en-GB"/>
        </w:rPr>
        <w:t xml:space="preserve">on </w:t>
      </w:r>
      <w:r w:rsidRPr="00E116B6" w:rsidR="00162950">
        <w:rPr>
          <w:lang w:val="en-GB"/>
        </w:rPr>
        <w:t>an</w:t>
      </w:r>
      <w:r w:rsidRPr="00E116B6" w:rsidR="006F3799">
        <w:rPr>
          <w:lang w:val="en-GB"/>
        </w:rPr>
        <w:t xml:space="preserve"> examinati</w:t>
      </w:r>
      <w:r w:rsidRPr="00E116B6" w:rsidR="006555F4">
        <w:rPr>
          <w:lang w:val="en-GB"/>
        </w:rPr>
        <w:t xml:space="preserve">on </w:t>
      </w:r>
      <w:r w:rsidRPr="00E116B6" w:rsidR="006F3799">
        <w:rPr>
          <w:lang w:val="en-GB"/>
        </w:rPr>
        <w:t>of the applicant conducted at her request</w:t>
      </w:r>
      <w:r w:rsidRPr="00E116B6" w:rsidR="00FF7256">
        <w:rPr>
          <w:lang w:val="en-GB"/>
        </w:rPr>
        <w:t>, and with the pris</w:t>
      </w:r>
      <w:r w:rsidRPr="00E116B6" w:rsidR="006555F4">
        <w:rPr>
          <w:lang w:val="en-GB"/>
        </w:rPr>
        <w:t xml:space="preserve">on </w:t>
      </w:r>
      <w:r w:rsidRPr="00E116B6" w:rsidR="00FF7256">
        <w:rPr>
          <w:lang w:val="en-GB"/>
        </w:rPr>
        <w:t>authority</w:t>
      </w:r>
      <w:r w:rsidRPr="00E116B6" w:rsidR="00E116B6">
        <w:rPr>
          <w:lang w:val="en-GB"/>
        </w:rPr>
        <w:t>’</w:t>
      </w:r>
      <w:r w:rsidRPr="00E116B6" w:rsidR="00FF7256">
        <w:rPr>
          <w:lang w:val="en-GB"/>
        </w:rPr>
        <w:t>s permission,</w:t>
      </w:r>
      <w:r w:rsidRPr="00E116B6" w:rsidR="006F3799">
        <w:rPr>
          <w:lang w:val="en-GB"/>
        </w:rPr>
        <w:t xml:space="preserve"> by private medical expert</w:t>
      </w:r>
      <w:r w:rsidRPr="00E116B6" w:rsidR="00FF7256">
        <w:rPr>
          <w:lang w:val="en-GB"/>
        </w:rPr>
        <w:t>s</w:t>
      </w:r>
      <w:r w:rsidRPr="00E116B6" w:rsidR="00FE41AB">
        <w:rPr>
          <w:lang w:val="en-GB"/>
        </w:rPr>
        <w:t xml:space="preserve">. </w:t>
      </w:r>
      <w:r w:rsidRPr="00E116B6" w:rsidR="00F4778D">
        <w:rPr>
          <w:lang w:val="en-GB"/>
        </w:rPr>
        <w:t>T</w:t>
      </w:r>
      <w:r w:rsidRPr="00E116B6" w:rsidR="00FE41AB">
        <w:rPr>
          <w:lang w:val="en-GB"/>
        </w:rPr>
        <w:t>hat report</w:t>
      </w:r>
      <w:r w:rsidRPr="00E116B6" w:rsidR="00F4778D">
        <w:rPr>
          <w:lang w:val="en-GB"/>
        </w:rPr>
        <w:t xml:space="preserve"> showed that </w:t>
      </w:r>
      <w:r w:rsidRPr="00E116B6" w:rsidR="007D72A0">
        <w:rPr>
          <w:lang w:val="en-GB"/>
        </w:rPr>
        <w:t>three medical specialists – a</w:t>
      </w:r>
      <w:r w:rsidRPr="00E116B6" w:rsidR="006F3799">
        <w:rPr>
          <w:lang w:val="en-GB"/>
        </w:rPr>
        <w:t xml:space="preserve"> </w:t>
      </w:r>
      <w:r w:rsidRPr="00E116B6" w:rsidR="007D72A0">
        <w:rPr>
          <w:lang w:val="en-GB"/>
        </w:rPr>
        <w:t>psychiatrist, a neurologist and a trauma specialist – had examined the first applicant in prison</w:t>
      </w:r>
      <w:r w:rsidRPr="00E116B6" w:rsidR="00FF7256">
        <w:rPr>
          <w:lang w:val="en-GB"/>
        </w:rPr>
        <w:t>, using the medical equipment available in the pris</w:t>
      </w:r>
      <w:r w:rsidRPr="00E116B6" w:rsidR="006555F4">
        <w:rPr>
          <w:lang w:val="en-GB"/>
        </w:rPr>
        <w:t xml:space="preserve">on </w:t>
      </w:r>
      <w:r w:rsidRPr="00E116B6" w:rsidR="00FF7256">
        <w:rPr>
          <w:lang w:val="en-GB"/>
        </w:rPr>
        <w:t>hospital,</w:t>
      </w:r>
      <w:r w:rsidRPr="00E116B6" w:rsidR="007D72A0">
        <w:rPr>
          <w:lang w:val="en-GB"/>
        </w:rPr>
        <w:t xml:space="preserve"> </w:t>
      </w:r>
      <w:r w:rsidRPr="00E116B6" w:rsidR="00F8626C">
        <w:rPr>
          <w:lang w:val="en-GB"/>
        </w:rPr>
        <w:t xml:space="preserve">in the course of </w:t>
      </w:r>
      <w:r w:rsidRPr="00E116B6" w:rsidR="007D72A0">
        <w:rPr>
          <w:lang w:val="en-GB"/>
        </w:rPr>
        <w:t xml:space="preserve">several visits. </w:t>
      </w:r>
      <w:r w:rsidRPr="00E116B6" w:rsidR="00984E0C">
        <w:rPr>
          <w:lang w:val="en-GB"/>
        </w:rPr>
        <w:t>They first</w:t>
      </w:r>
      <w:r w:rsidRPr="00E116B6" w:rsidR="007D72A0">
        <w:rPr>
          <w:lang w:val="en-GB"/>
        </w:rPr>
        <w:t xml:space="preserve"> not</w:t>
      </w:r>
      <w:r w:rsidRPr="00E116B6" w:rsidR="00984E0C">
        <w:rPr>
          <w:lang w:val="en-GB"/>
        </w:rPr>
        <w:t>ed</w:t>
      </w:r>
      <w:r w:rsidRPr="00E116B6" w:rsidR="007D72A0">
        <w:rPr>
          <w:lang w:val="en-GB"/>
        </w:rPr>
        <w:t xml:space="preserve"> that the first applicant </w:t>
      </w:r>
      <w:r w:rsidRPr="00E116B6" w:rsidR="00F4778D">
        <w:rPr>
          <w:lang w:val="en-GB"/>
        </w:rPr>
        <w:t>had repeated the</w:t>
      </w:r>
      <w:r w:rsidRPr="00E116B6" w:rsidR="00A8125B">
        <w:rPr>
          <w:lang w:val="en-GB"/>
        </w:rPr>
        <w:t xml:space="preserve"> </w:t>
      </w:r>
      <w:r w:rsidRPr="00E116B6" w:rsidR="00F4778D">
        <w:rPr>
          <w:lang w:val="en-GB"/>
        </w:rPr>
        <w:t xml:space="preserve">statements he had made </w:t>
      </w:r>
      <w:r w:rsidRPr="00E116B6" w:rsidR="007D72A0">
        <w:rPr>
          <w:lang w:val="en-GB"/>
        </w:rPr>
        <w:t>in his complaint of 7 September 2004</w:t>
      </w:r>
      <w:r w:rsidRPr="00E116B6" w:rsidR="00984E0C">
        <w:rPr>
          <w:lang w:val="en-GB"/>
        </w:rPr>
        <w:t xml:space="preserve">. The </w:t>
      </w:r>
      <w:r w:rsidRPr="00E116B6" w:rsidR="00CE7483">
        <w:rPr>
          <w:lang w:val="en-GB"/>
        </w:rPr>
        <w:t xml:space="preserve">medical </w:t>
      </w:r>
      <w:r w:rsidRPr="00E116B6" w:rsidR="00984E0C">
        <w:rPr>
          <w:lang w:val="en-GB"/>
        </w:rPr>
        <w:t>experts also observed that the applicant suffered from epileptic fits, and that, according to the applicant</w:t>
      </w:r>
      <w:r w:rsidRPr="00E116B6" w:rsidR="00F4778D">
        <w:rPr>
          <w:lang w:val="en-GB"/>
        </w:rPr>
        <w:t xml:space="preserve"> himself</w:t>
      </w:r>
      <w:r w:rsidRPr="00E116B6" w:rsidR="00984E0C">
        <w:rPr>
          <w:lang w:val="en-GB"/>
        </w:rPr>
        <w:t xml:space="preserve">, the first fit had occurred </w:t>
      </w:r>
      <w:r w:rsidRPr="00E116B6" w:rsidR="006555F4">
        <w:rPr>
          <w:lang w:val="en-GB"/>
        </w:rPr>
        <w:t xml:space="preserve">on </w:t>
      </w:r>
      <w:r w:rsidRPr="00E116B6" w:rsidR="00984E0C">
        <w:rPr>
          <w:lang w:val="en-GB"/>
        </w:rPr>
        <w:t>22</w:t>
      </w:r>
      <w:r w:rsidRPr="00E116B6" w:rsidR="0000400E">
        <w:rPr>
          <w:lang w:val="en-GB"/>
        </w:rPr>
        <w:t> </w:t>
      </w:r>
      <w:r w:rsidRPr="00E116B6" w:rsidR="00984E0C">
        <w:rPr>
          <w:lang w:val="en-GB"/>
        </w:rPr>
        <w:t>July 2004.</w:t>
      </w:r>
      <w:r w:rsidRPr="00E116B6" w:rsidR="00AC1180">
        <w:rPr>
          <w:lang w:val="en-GB"/>
        </w:rPr>
        <w:t xml:space="preserve"> </w:t>
      </w:r>
      <w:r w:rsidRPr="00E116B6" w:rsidR="00984E0C">
        <w:rPr>
          <w:lang w:val="en-GB"/>
        </w:rPr>
        <w:t>T</w:t>
      </w:r>
      <w:r w:rsidRPr="00E116B6" w:rsidR="007D72A0">
        <w:rPr>
          <w:lang w:val="en-GB"/>
        </w:rPr>
        <w:t>he</w:t>
      </w:r>
      <w:r w:rsidRPr="00E116B6" w:rsidR="00F4778D">
        <w:rPr>
          <w:lang w:val="en-GB"/>
        </w:rPr>
        <w:t>ir view</w:t>
      </w:r>
      <w:r w:rsidRPr="00E116B6" w:rsidR="007D72A0">
        <w:rPr>
          <w:lang w:val="en-GB"/>
        </w:rPr>
        <w:t xml:space="preserve">, </w:t>
      </w:r>
      <w:r w:rsidRPr="00E116B6" w:rsidR="006555F4">
        <w:rPr>
          <w:lang w:val="en-GB"/>
        </w:rPr>
        <w:t xml:space="preserve">on </w:t>
      </w:r>
      <w:r w:rsidRPr="00E116B6" w:rsidR="00984E0C">
        <w:rPr>
          <w:lang w:val="en-GB"/>
        </w:rPr>
        <w:t>the basis of ultras</w:t>
      </w:r>
      <w:r w:rsidRPr="00E116B6" w:rsidR="007D72A0">
        <w:rPr>
          <w:lang w:val="en-GB"/>
        </w:rPr>
        <w:t xml:space="preserve">ound and </w:t>
      </w:r>
      <w:r w:rsidRPr="00E116B6" w:rsidR="002F5A5D">
        <w:rPr>
          <w:lang w:val="en-GB"/>
        </w:rPr>
        <w:t xml:space="preserve">computed </w:t>
      </w:r>
      <w:r w:rsidRPr="00E116B6" w:rsidR="007D72A0">
        <w:rPr>
          <w:lang w:val="en-GB"/>
        </w:rPr>
        <w:t>tomograph</w:t>
      </w:r>
      <w:r w:rsidRPr="00E116B6" w:rsidR="002F5A5D">
        <w:rPr>
          <w:lang w:val="en-GB"/>
        </w:rPr>
        <w:t xml:space="preserve">y (CT) </w:t>
      </w:r>
      <w:r w:rsidRPr="00E116B6" w:rsidR="007D72A0">
        <w:rPr>
          <w:lang w:val="en-GB"/>
        </w:rPr>
        <w:t xml:space="preserve">scans, </w:t>
      </w:r>
      <w:r w:rsidRPr="00E116B6" w:rsidR="002F5A5D">
        <w:rPr>
          <w:lang w:val="en-GB"/>
        </w:rPr>
        <w:t xml:space="preserve">was </w:t>
      </w:r>
      <w:r w:rsidRPr="00E116B6" w:rsidR="007D72A0">
        <w:rPr>
          <w:lang w:val="en-GB"/>
        </w:rPr>
        <w:t xml:space="preserve">that the applicant suffered from epileptic fits which had been caused by a </w:t>
      </w:r>
      <w:r w:rsidRPr="00E116B6" w:rsidR="00984E0C">
        <w:rPr>
          <w:lang w:val="en-GB"/>
        </w:rPr>
        <w:t xml:space="preserve">traumatic </w:t>
      </w:r>
      <w:r w:rsidRPr="00E116B6" w:rsidR="007D72A0">
        <w:rPr>
          <w:lang w:val="en-GB"/>
        </w:rPr>
        <w:t xml:space="preserve">head injury. </w:t>
      </w:r>
      <w:r w:rsidRPr="00E116B6" w:rsidR="00984E0C">
        <w:rPr>
          <w:lang w:val="en-GB"/>
        </w:rPr>
        <w:t xml:space="preserve">The </w:t>
      </w:r>
      <w:r w:rsidRPr="00E116B6" w:rsidR="002F5A5D">
        <w:rPr>
          <w:lang w:val="en-GB"/>
        </w:rPr>
        <w:t xml:space="preserve">CT scan </w:t>
      </w:r>
      <w:r w:rsidRPr="00E116B6" w:rsidR="00984E0C">
        <w:rPr>
          <w:lang w:val="en-GB"/>
        </w:rPr>
        <w:t>also showed a scarred lesi</w:t>
      </w:r>
      <w:r w:rsidRPr="00E116B6" w:rsidR="006555F4">
        <w:rPr>
          <w:lang w:val="en-GB"/>
        </w:rPr>
        <w:t xml:space="preserve">on </w:t>
      </w:r>
      <w:r w:rsidRPr="00E116B6" w:rsidR="00984E0C">
        <w:rPr>
          <w:lang w:val="en-GB"/>
        </w:rPr>
        <w:t>in the area of the joint at the nape of the neck, and signs of intracranial hypertensi</w:t>
      </w:r>
      <w:r w:rsidRPr="00E116B6" w:rsidR="006555F4">
        <w:rPr>
          <w:lang w:val="en-GB"/>
        </w:rPr>
        <w:t xml:space="preserve">on </w:t>
      </w:r>
      <w:r w:rsidRPr="00E116B6" w:rsidR="00984E0C">
        <w:rPr>
          <w:lang w:val="en-GB"/>
        </w:rPr>
        <w:t>syndrome. A</w:t>
      </w:r>
      <w:r w:rsidRPr="00E116B6" w:rsidR="006555F4">
        <w:rPr>
          <w:lang w:val="en-GB"/>
        </w:rPr>
        <w:t xml:space="preserve"> </w:t>
      </w:r>
      <w:r w:rsidRPr="00E116B6" w:rsidR="00984E0C">
        <w:rPr>
          <w:lang w:val="en-GB"/>
        </w:rPr>
        <w:t xml:space="preserve">poorly healed fracture of the zygomatic bone and the left </w:t>
      </w:r>
      <w:r w:rsidRPr="00E116B6" w:rsidR="00F4778D">
        <w:rPr>
          <w:lang w:val="en-GB"/>
        </w:rPr>
        <w:t xml:space="preserve">of the </w:t>
      </w:r>
      <w:r w:rsidRPr="00E116B6" w:rsidR="00984E0C">
        <w:rPr>
          <w:lang w:val="en-GB"/>
        </w:rPr>
        <w:t>upper jaw was also detected. In the experts</w:t>
      </w:r>
      <w:r w:rsidRPr="00E116B6" w:rsidR="00E116B6">
        <w:rPr>
          <w:lang w:val="en-GB"/>
        </w:rPr>
        <w:t>’</w:t>
      </w:r>
      <w:r w:rsidRPr="00E116B6" w:rsidR="00984E0C">
        <w:rPr>
          <w:lang w:val="en-GB"/>
        </w:rPr>
        <w:t xml:space="preserve"> opinion, the physical and psychological </w:t>
      </w:r>
      <w:r w:rsidRPr="00E116B6" w:rsidR="00162950">
        <w:rPr>
          <w:lang w:val="en-GB"/>
        </w:rPr>
        <w:t xml:space="preserve">problems that had been </w:t>
      </w:r>
      <w:r w:rsidRPr="00E116B6" w:rsidR="00984E0C">
        <w:rPr>
          <w:lang w:val="en-GB"/>
        </w:rPr>
        <w:t>revealed could well have been caused</w:t>
      </w:r>
      <w:r w:rsidRPr="00E116B6" w:rsidR="000B0DD0">
        <w:rPr>
          <w:lang w:val="en-GB"/>
        </w:rPr>
        <w:t>,</w:t>
      </w:r>
      <w:r w:rsidRPr="00E116B6" w:rsidR="00984E0C">
        <w:rPr>
          <w:lang w:val="en-GB"/>
        </w:rPr>
        <w:t xml:space="preserve"> </w:t>
      </w:r>
      <w:r w:rsidRPr="00E116B6" w:rsidR="000B0DD0">
        <w:rPr>
          <w:lang w:val="en-GB"/>
        </w:rPr>
        <w:t xml:space="preserve">in principle, </w:t>
      </w:r>
      <w:r w:rsidRPr="00E116B6" w:rsidR="00984E0C">
        <w:rPr>
          <w:lang w:val="en-GB"/>
        </w:rPr>
        <w:t>by the type of ill-treatment complained of by the first applicant.</w:t>
      </w:r>
    </w:p>
    <w:p w:rsidRPr="00E116B6" w:rsidR="0021303E" w:rsidP="00E116B6" w:rsidRDefault="004C4CF3">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49</w:t>
      </w:r>
      <w:r w:rsidRPr="00E116B6">
        <w:rPr>
          <w:lang w:val="en-GB"/>
        </w:rPr>
        <w:fldChar w:fldCharType="end"/>
      </w:r>
      <w:r w:rsidRPr="00E116B6" w:rsidR="0021303E">
        <w:rPr>
          <w:lang w:val="en-GB"/>
        </w:rPr>
        <w:t>.  </w:t>
      </w:r>
      <w:r w:rsidRPr="00E116B6" w:rsidR="001C790D">
        <w:rPr>
          <w:lang w:val="en-GB"/>
        </w:rPr>
        <w:t>On 12 October 2004 the Inspector</w:t>
      </w:r>
      <w:r w:rsidRPr="00E116B6" w:rsidR="00DF43F4">
        <w:rPr>
          <w:lang w:val="en-GB"/>
        </w:rPr>
        <w:t>ate</w:t>
      </w:r>
      <w:r w:rsidRPr="00E116B6" w:rsidR="001C790D">
        <w:rPr>
          <w:lang w:val="en-GB"/>
        </w:rPr>
        <w:t xml:space="preserve"> of the C</w:t>
      </w:r>
      <w:r w:rsidRPr="00E116B6" w:rsidR="00CE7483">
        <w:rPr>
          <w:lang w:val="en-GB"/>
        </w:rPr>
        <w:t>PPO</w:t>
      </w:r>
      <w:r w:rsidRPr="00E116B6" w:rsidR="001C790D">
        <w:rPr>
          <w:lang w:val="en-GB"/>
        </w:rPr>
        <w:t xml:space="preserve"> asked the investigations department of the </w:t>
      </w:r>
      <w:r w:rsidRPr="00E116B6" w:rsidR="00CE7483">
        <w:rPr>
          <w:lang w:val="en-GB"/>
        </w:rPr>
        <w:t xml:space="preserve">Tbilisi </w:t>
      </w:r>
      <w:r w:rsidRPr="00E116B6" w:rsidR="001C790D">
        <w:rPr>
          <w:lang w:val="en-GB"/>
        </w:rPr>
        <w:t>city prosecutor</w:t>
      </w:r>
      <w:r w:rsidRPr="00E116B6" w:rsidR="00E116B6">
        <w:rPr>
          <w:lang w:val="en-GB"/>
        </w:rPr>
        <w:t>’</w:t>
      </w:r>
      <w:r w:rsidRPr="00E116B6" w:rsidR="001C790D">
        <w:rPr>
          <w:lang w:val="en-GB"/>
        </w:rPr>
        <w:t xml:space="preserve">s office to set up a meeting with the first applicant for 13 October 2004 with a view to </w:t>
      </w:r>
      <w:r w:rsidRPr="00E116B6" w:rsidR="000B0DD0">
        <w:rPr>
          <w:lang w:val="en-GB"/>
        </w:rPr>
        <w:t>checking the wife</w:t>
      </w:r>
      <w:r w:rsidRPr="00E116B6" w:rsidR="00E116B6">
        <w:rPr>
          <w:lang w:val="en-GB"/>
        </w:rPr>
        <w:t>’</w:t>
      </w:r>
      <w:r w:rsidRPr="00E116B6" w:rsidR="000B0DD0">
        <w:rPr>
          <w:lang w:val="en-GB"/>
        </w:rPr>
        <w:t xml:space="preserve">s </w:t>
      </w:r>
      <w:r w:rsidRPr="00E116B6" w:rsidR="001C790D">
        <w:rPr>
          <w:lang w:val="en-GB"/>
        </w:rPr>
        <w:t>alleg</w:t>
      </w:r>
      <w:r w:rsidRPr="00E116B6" w:rsidR="000B0DD0">
        <w:rPr>
          <w:lang w:val="en-GB"/>
        </w:rPr>
        <w:t>ations</w:t>
      </w:r>
      <w:r w:rsidRPr="00E116B6" w:rsidR="001C790D">
        <w:rPr>
          <w:lang w:val="en-GB"/>
        </w:rPr>
        <w:t>. The Inspectorate General of the Ministry of the Interior, for its part, replied to the first applicant</w:t>
      </w:r>
      <w:r w:rsidRPr="00E116B6" w:rsidR="00E116B6">
        <w:rPr>
          <w:lang w:val="en-GB"/>
        </w:rPr>
        <w:t>’</w:t>
      </w:r>
      <w:r w:rsidRPr="00E116B6" w:rsidR="001C790D">
        <w:rPr>
          <w:lang w:val="en-GB"/>
        </w:rPr>
        <w:t>s wife that the</w:t>
      </w:r>
      <w:r w:rsidRPr="00E116B6" w:rsidR="000B0DD0">
        <w:rPr>
          <w:lang w:val="en-GB"/>
        </w:rPr>
        <w:t xml:space="preserve"> </w:t>
      </w:r>
      <w:r w:rsidRPr="00E116B6" w:rsidR="001C790D">
        <w:rPr>
          <w:lang w:val="en-GB"/>
        </w:rPr>
        <w:t xml:space="preserve">criminal complaint </w:t>
      </w:r>
      <w:r w:rsidRPr="00E116B6" w:rsidR="000B0DD0">
        <w:rPr>
          <w:lang w:val="en-GB"/>
        </w:rPr>
        <w:t xml:space="preserve">made </w:t>
      </w:r>
      <w:r w:rsidRPr="00E116B6" w:rsidR="001C790D">
        <w:rPr>
          <w:lang w:val="en-GB"/>
        </w:rPr>
        <w:t xml:space="preserve">by the applicant had already been examined and </w:t>
      </w:r>
      <w:r w:rsidRPr="00E116B6" w:rsidR="000B0DD0">
        <w:rPr>
          <w:lang w:val="en-GB"/>
        </w:rPr>
        <w:t>dismissed</w:t>
      </w:r>
      <w:r w:rsidRPr="00E116B6" w:rsidR="001C790D">
        <w:rPr>
          <w:lang w:val="en-GB"/>
        </w:rPr>
        <w:t xml:space="preserve"> as unsubstantiated.</w:t>
      </w:r>
    </w:p>
    <w:p w:rsidRPr="00E116B6" w:rsidR="00AC1180" w:rsidP="00E116B6" w:rsidRDefault="004C4CF3">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50</w:t>
      </w:r>
      <w:r w:rsidRPr="00E116B6">
        <w:rPr>
          <w:lang w:val="en-GB"/>
        </w:rPr>
        <w:fldChar w:fldCharType="end"/>
      </w:r>
      <w:r w:rsidRPr="00E116B6" w:rsidR="00CF424D">
        <w:rPr>
          <w:lang w:val="en-GB"/>
        </w:rPr>
        <w:t>.  When questioned by an investigator of the Inspectorate General of the C</w:t>
      </w:r>
      <w:r w:rsidRPr="00E116B6" w:rsidR="00CE7483">
        <w:rPr>
          <w:lang w:val="en-GB"/>
        </w:rPr>
        <w:t>PPO</w:t>
      </w:r>
      <w:r w:rsidRPr="00E116B6" w:rsidR="00CF424D">
        <w:rPr>
          <w:lang w:val="en-GB"/>
        </w:rPr>
        <w:t xml:space="preserve"> </w:t>
      </w:r>
      <w:r w:rsidRPr="00E116B6" w:rsidR="006555F4">
        <w:rPr>
          <w:lang w:val="en-GB"/>
        </w:rPr>
        <w:t xml:space="preserve">on </w:t>
      </w:r>
      <w:r w:rsidRPr="00E116B6" w:rsidR="00CF424D">
        <w:rPr>
          <w:lang w:val="en-GB"/>
        </w:rPr>
        <w:t>13 October 2004, the first applicant</w:t>
      </w:r>
      <w:r w:rsidRPr="00E116B6" w:rsidR="00CE7483">
        <w:rPr>
          <w:lang w:val="en-GB"/>
        </w:rPr>
        <w:t xml:space="preserve"> </w:t>
      </w:r>
      <w:r w:rsidRPr="00E116B6" w:rsidR="000B0DD0">
        <w:rPr>
          <w:lang w:val="en-GB"/>
        </w:rPr>
        <w:t xml:space="preserve">stood by </w:t>
      </w:r>
      <w:r w:rsidRPr="00E116B6" w:rsidR="00CF424D">
        <w:rPr>
          <w:lang w:val="en-GB"/>
        </w:rPr>
        <w:t xml:space="preserve">his allegations </w:t>
      </w:r>
      <w:r w:rsidRPr="00E116B6" w:rsidR="00162950">
        <w:rPr>
          <w:lang w:val="en-GB"/>
        </w:rPr>
        <w:t xml:space="preserve">that he had </w:t>
      </w:r>
      <w:r w:rsidRPr="00E116B6" w:rsidR="00CF424D">
        <w:rPr>
          <w:lang w:val="en-GB"/>
        </w:rPr>
        <w:t>been tortured by the pol</w:t>
      </w:r>
      <w:r w:rsidRPr="00E116B6" w:rsidR="00CE7483">
        <w:rPr>
          <w:lang w:val="en-GB"/>
        </w:rPr>
        <w:t>i</w:t>
      </w:r>
      <w:r w:rsidRPr="00E116B6" w:rsidR="00CF424D">
        <w:rPr>
          <w:lang w:val="en-GB"/>
        </w:rPr>
        <w:t xml:space="preserve">ce officers </w:t>
      </w:r>
      <w:r w:rsidRPr="00E116B6" w:rsidR="006555F4">
        <w:rPr>
          <w:lang w:val="en-GB"/>
        </w:rPr>
        <w:t xml:space="preserve">on </w:t>
      </w:r>
      <w:r w:rsidRPr="00E116B6" w:rsidR="00CF424D">
        <w:rPr>
          <w:lang w:val="en-GB"/>
        </w:rPr>
        <w:t>13 May 200</w:t>
      </w:r>
      <w:r w:rsidRPr="00E116B6" w:rsidR="00B9373F">
        <w:rPr>
          <w:lang w:val="en-GB"/>
        </w:rPr>
        <w:t>4</w:t>
      </w:r>
      <w:r w:rsidRPr="00E116B6" w:rsidR="00CE7483">
        <w:rPr>
          <w:lang w:val="en-GB"/>
        </w:rPr>
        <w:t>.</w:t>
      </w:r>
    </w:p>
    <w:bookmarkStart w:name="medreport2" w:id="29"/>
    <w:p w:rsidRPr="00E116B6" w:rsidR="001C790D" w:rsidP="00E116B6" w:rsidRDefault="004C4CF3">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51</w:t>
      </w:r>
      <w:r w:rsidRPr="00E116B6">
        <w:rPr>
          <w:lang w:val="en-GB"/>
        </w:rPr>
        <w:fldChar w:fldCharType="end"/>
      </w:r>
      <w:bookmarkEnd w:id="29"/>
      <w:r w:rsidRPr="00E116B6" w:rsidR="001C790D">
        <w:rPr>
          <w:lang w:val="en-GB"/>
        </w:rPr>
        <w:t>.  Following a request by the Inspectorate General of the C</w:t>
      </w:r>
      <w:r w:rsidRPr="00E116B6" w:rsidR="00CE7483">
        <w:rPr>
          <w:lang w:val="en-GB"/>
        </w:rPr>
        <w:t>PPO</w:t>
      </w:r>
      <w:r w:rsidRPr="00E116B6" w:rsidR="001C790D">
        <w:rPr>
          <w:lang w:val="en-GB"/>
        </w:rPr>
        <w:t xml:space="preserve">, </w:t>
      </w:r>
      <w:r w:rsidRPr="00E116B6" w:rsidR="006555F4">
        <w:rPr>
          <w:lang w:val="en-GB"/>
        </w:rPr>
        <w:t xml:space="preserve">on </w:t>
      </w:r>
      <w:r w:rsidRPr="00E116B6" w:rsidR="001C790D">
        <w:rPr>
          <w:lang w:val="en-GB"/>
        </w:rPr>
        <w:t>19</w:t>
      </w:r>
      <w:r w:rsidRPr="00E116B6" w:rsidR="0000400E">
        <w:rPr>
          <w:lang w:val="en-GB"/>
        </w:rPr>
        <w:t> </w:t>
      </w:r>
      <w:r w:rsidRPr="00E116B6" w:rsidR="001C790D">
        <w:rPr>
          <w:lang w:val="en-GB"/>
        </w:rPr>
        <w:t xml:space="preserve">October 2004 </w:t>
      </w:r>
      <w:r w:rsidRPr="00E116B6" w:rsidR="002F5A5D">
        <w:rPr>
          <w:lang w:val="en-GB"/>
        </w:rPr>
        <w:t xml:space="preserve">State experts drew up </w:t>
      </w:r>
      <w:r w:rsidRPr="00E116B6" w:rsidR="001C790D">
        <w:rPr>
          <w:lang w:val="en-GB"/>
        </w:rPr>
        <w:t xml:space="preserve">another medical report </w:t>
      </w:r>
      <w:r w:rsidRPr="00E116B6" w:rsidR="006555F4">
        <w:rPr>
          <w:lang w:val="en-GB"/>
        </w:rPr>
        <w:t xml:space="preserve">on </w:t>
      </w:r>
      <w:r w:rsidRPr="00E116B6" w:rsidR="000B0DD0">
        <w:rPr>
          <w:lang w:val="en-GB"/>
        </w:rPr>
        <w:t>the first applicant</w:t>
      </w:r>
      <w:r w:rsidRPr="00E116B6" w:rsidR="001C790D">
        <w:rPr>
          <w:lang w:val="en-GB"/>
        </w:rPr>
        <w:t xml:space="preserve">. The experts noted a wound at the nape of </w:t>
      </w:r>
      <w:r w:rsidRPr="00E116B6" w:rsidR="00AA00EF">
        <w:rPr>
          <w:lang w:val="en-GB"/>
        </w:rPr>
        <w:t xml:space="preserve">the </w:t>
      </w:r>
      <w:r w:rsidRPr="00E116B6" w:rsidR="001C790D">
        <w:rPr>
          <w:lang w:val="en-GB"/>
        </w:rPr>
        <w:t>neck, which was at an advanced stage of scarring and had been caused by a hard</w:t>
      </w:r>
      <w:r w:rsidRPr="00E116B6" w:rsidR="00AA00EF">
        <w:rPr>
          <w:lang w:val="en-GB"/>
        </w:rPr>
        <w:t>,</w:t>
      </w:r>
      <w:r w:rsidRPr="00E116B6" w:rsidR="001C790D">
        <w:rPr>
          <w:lang w:val="en-GB"/>
        </w:rPr>
        <w:t xml:space="preserve"> blunt object</w:t>
      </w:r>
      <w:r w:rsidRPr="00E116B6" w:rsidR="002F5A5D">
        <w:rPr>
          <w:lang w:val="en-GB"/>
        </w:rPr>
        <w:t>;</w:t>
      </w:r>
      <w:r w:rsidRPr="00E116B6" w:rsidR="001C790D">
        <w:rPr>
          <w:lang w:val="en-GB"/>
        </w:rPr>
        <w:t xml:space="preserve"> various cuts </w:t>
      </w:r>
      <w:r w:rsidRPr="00E116B6" w:rsidR="006555F4">
        <w:rPr>
          <w:lang w:val="en-GB"/>
        </w:rPr>
        <w:t xml:space="preserve">on </w:t>
      </w:r>
      <w:r w:rsidRPr="00E116B6" w:rsidR="00AA00EF">
        <w:rPr>
          <w:lang w:val="en-GB"/>
        </w:rPr>
        <w:t xml:space="preserve">the </w:t>
      </w:r>
      <w:r w:rsidRPr="00E116B6" w:rsidR="001C790D">
        <w:rPr>
          <w:lang w:val="en-GB"/>
        </w:rPr>
        <w:t xml:space="preserve">stomach, some of which measured 18 </w:t>
      </w:r>
      <w:r w:rsidRPr="00E116B6" w:rsidR="00162950">
        <w:rPr>
          <w:lang w:val="en-GB"/>
        </w:rPr>
        <w:t xml:space="preserve">by </w:t>
      </w:r>
      <w:r w:rsidRPr="00E116B6" w:rsidR="001C790D">
        <w:rPr>
          <w:lang w:val="en-GB"/>
        </w:rPr>
        <w:t>0.1</w:t>
      </w:r>
      <w:r w:rsidRPr="00E116B6" w:rsidR="00B370DE">
        <w:rPr>
          <w:lang w:val="en-GB"/>
        </w:rPr>
        <w:t> </w:t>
      </w:r>
      <w:r w:rsidRPr="00E116B6" w:rsidR="001C790D">
        <w:rPr>
          <w:lang w:val="en-GB"/>
        </w:rPr>
        <w:t>cm and 16</w:t>
      </w:r>
      <w:r w:rsidRPr="00E116B6" w:rsidR="0000400E">
        <w:rPr>
          <w:lang w:val="en-GB"/>
        </w:rPr>
        <w:t> </w:t>
      </w:r>
      <w:r w:rsidRPr="00E116B6" w:rsidR="00162950">
        <w:rPr>
          <w:lang w:val="en-GB"/>
        </w:rPr>
        <w:t xml:space="preserve">by </w:t>
      </w:r>
      <w:r w:rsidRPr="00E116B6" w:rsidR="001C790D">
        <w:rPr>
          <w:lang w:val="en-GB"/>
        </w:rPr>
        <w:t>0.1 cm</w:t>
      </w:r>
      <w:r w:rsidRPr="00E116B6" w:rsidR="002F5A5D">
        <w:rPr>
          <w:lang w:val="en-GB"/>
        </w:rPr>
        <w:t>;</w:t>
      </w:r>
      <w:r w:rsidRPr="00E116B6" w:rsidR="001C790D">
        <w:rPr>
          <w:lang w:val="en-GB"/>
        </w:rPr>
        <w:t xml:space="preserve"> and several cuts </w:t>
      </w:r>
      <w:r w:rsidRPr="00E116B6" w:rsidR="006555F4">
        <w:rPr>
          <w:lang w:val="en-GB"/>
        </w:rPr>
        <w:t xml:space="preserve">on </w:t>
      </w:r>
      <w:r w:rsidRPr="00E116B6" w:rsidR="001C790D">
        <w:rPr>
          <w:lang w:val="en-GB"/>
        </w:rPr>
        <w:t xml:space="preserve">his left forearm. The scar </w:t>
      </w:r>
      <w:r w:rsidRPr="00E116B6" w:rsidR="006555F4">
        <w:rPr>
          <w:lang w:val="en-GB"/>
        </w:rPr>
        <w:t xml:space="preserve">on </w:t>
      </w:r>
      <w:r w:rsidRPr="00E116B6" w:rsidR="002F5A5D">
        <w:rPr>
          <w:lang w:val="en-GB"/>
        </w:rPr>
        <w:t xml:space="preserve">the </w:t>
      </w:r>
      <w:r w:rsidRPr="00E116B6" w:rsidR="001C790D">
        <w:rPr>
          <w:lang w:val="en-GB"/>
        </w:rPr>
        <w:t xml:space="preserve">head was old and it could not be said </w:t>
      </w:r>
      <w:r w:rsidRPr="00E116B6" w:rsidR="002F5A5D">
        <w:rPr>
          <w:lang w:val="en-GB"/>
        </w:rPr>
        <w:t xml:space="preserve">exactly </w:t>
      </w:r>
      <w:r w:rsidRPr="00E116B6" w:rsidR="001C790D">
        <w:rPr>
          <w:lang w:val="en-GB"/>
        </w:rPr>
        <w:t xml:space="preserve">when the injury had been sustained. </w:t>
      </w:r>
      <w:r w:rsidRPr="00E116B6" w:rsidR="00162950">
        <w:rPr>
          <w:lang w:val="en-GB"/>
        </w:rPr>
        <w:t>However, i</w:t>
      </w:r>
      <w:r w:rsidRPr="00E116B6" w:rsidR="001C790D">
        <w:rPr>
          <w:lang w:val="en-GB"/>
        </w:rPr>
        <w:t>t could have been caused between April and July 2004.</w:t>
      </w:r>
    </w:p>
    <w:bookmarkStart w:name="investigativesteps" w:id="30"/>
    <w:p w:rsidRPr="00E116B6" w:rsidR="00FF0611" w:rsidP="00E116B6" w:rsidRDefault="004C4CF3">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52</w:t>
      </w:r>
      <w:r w:rsidRPr="00E116B6">
        <w:rPr>
          <w:lang w:val="en-GB"/>
        </w:rPr>
        <w:fldChar w:fldCharType="end"/>
      </w:r>
      <w:bookmarkEnd w:id="30"/>
      <w:r w:rsidRPr="00E116B6" w:rsidR="00357DB0">
        <w:rPr>
          <w:lang w:val="en-GB"/>
        </w:rPr>
        <w:t>.  Between late October and early November 2004, the Inspectorate General of the C</w:t>
      </w:r>
      <w:r w:rsidRPr="00E116B6" w:rsidR="00CE7483">
        <w:rPr>
          <w:lang w:val="en-GB"/>
        </w:rPr>
        <w:t xml:space="preserve">PPO </w:t>
      </w:r>
      <w:r w:rsidRPr="00E116B6" w:rsidR="00357DB0">
        <w:rPr>
          <w:lang w:val="en-GB"/>
        </w:rPr>
        <w:t xml:space="preserve">questioned a number of </w:t>
      </w:r>
      <w:r w:rsidRPr="00E116B6" w:rsidR="00AA00EF">
        <w:rPr>
          <w:lang w:val="en-GB"/>
        </w:rPr>
        <w:t xml:space="preserve">potential </w:t>
      </w:r>
      <w:r w:rsidRPr="00E116B6" w:rsidR="00357DB0">
        <w:rPr>
          <w:lang w:val="en-GB"/>
        </w:rPr>
        <w:t xml:space="preserve">witnesses </w:t>
      </w:r>
      <w:r w:rsidRPr="00E116B6" w:rsidR="00AA00EF">
        <w:rPr>
          <w:lang w:val="en-GB"/>
        </w:rPr>
        <w:t xml:space="preserve">to </w:t>
      </w:r>
      <w:r w:rsidRPr="00E116B6" w:rsidR="00357DB0">
        <w:rPr>
          <w:lang w:val="en-GB"/>
        </w:rPr>
        <w:t>the first applicant</w:t>
      </w:r>
      <w:r w:rsidRPr="00E116B6" w:rsidR="00E116B6">
        <w:rPr>
          <w:lang w:val="en-GB"/>
        </w:rPr>
        <w:t>’</w:t>
      </w:r>
      <w:r w:rsidRPr="00E116B6" w:rsidR="00357DB0">
        <w:rPr>
          <w:lang w:val="en-GB"/>
        </w:rPr>
        <w:t xml:space="preserve">s alleged ill-treatment: P.B., the investigator </w:t>
      </w:r>
      <w:r w:rsidRPr="00E116B6" w:rsidR="00AA00EF">
        <w:rPr>
          <w:lang w:val="en-GB"/>
        </w:rPr>
        <w:t xml:space="preserve">in </w:t>
      </w:r>
      <w:r w:rsidRPr="00E116B6" w:rsidR="00357DB0">
        <w:rPr>
          <w:lang w:val="en-GB"/>
        </w:rPr>
        <w:t>the applicant</w:t>
      </w:r>
      <w:r w:rsidRPr="00E116B6" w:rsidR="00E116B6">
        <w:rPr>
          <w:lang w:val="en-GB"/>
        </w:rPr>
        <w:t>’</w:t>
      </w:r>
      <w:r w:rsidRPr="00E116B6" w:rsidR="00357DB0">
        <w:rPr>
          <w:lang w:val="en-GB"/>
        </w:rPr>
        <w:t>s case</w:t>
      </w:r>
      <w:r w:rsidRPr="00E116B6" w:rsidR="00AA00EF">
        <w:rPr>
          <w:lang w:val="en-GB"/>
        </w:rPr>
        <w:t>;</w:t>
      </w:r>
      <w:r w:rsidRPr="00E116B6" w:rsidR="00357DB0">
        <w:rPr>
          <w:lang w:val="en-GB"/>
        </w:rPr>
        <w:t xml:space="preserve"> M.S., </w:t>
      </w:r>
      <w:r w:rsidRPr="00E116B6" w:rsidR="00AA00EF">
        <w:rPr>
          <w:lang w:val="en-GB"/>
        </w:rPr>
        <w:t xml:space="preserve">a </w:t>
      </w:r>
      <w:r w:rsidRPr="00E116B6" w:rsidR="00CE7483">
        <w:rPr>
          <w:lang w:val="en-GB"/>
        </w:rPr>
        <w:t>Ministry of t</w:t>
      </w:r>
      <w:r w:rsidRPr="00E116B6" w:rsidR="00357DB0">
        <w:rPr>
          <w:lang w:val="en-GB"/>
        </w:rPr>
        <w:t xml:space="preserve">he Interior </w:t>
      </w:r>
      <w:r w:rsidRPr="00E116B6" w:rsidR="00AA00EF">
        <w:rPr>
          <w:lang w:val="en-GB"/>
        </w:rPr>
        <w:t xml:space="preserve">camera operator </w:t>
      </w:r>
      <w:r w:rsidRPr="00E116B6" w:rsidR="00357DB0">
        <w:rPr>
          <w:lang w:val="en-GB"/>
        </w:rPr>
        <w:t xml:space="preserve">who had recorded the </w:t>
      </w:r>
      <w:r w:rsidRPr="00E116B6" w:rsidR="00AA00EF">
        <w:rPr>
          <w:lang w:val="en-GB"/>
        </w:rPr>
        <w:t>applicant</w:t>
      </w:r>
      <w:r w:rsidRPr="00E116B6" w:rsidR="00E116B6">
        <w:rPr>
          <w:lang w:val="en-GB"/>
        </w:rPr>
        <w:t>’</w:t>
      </w:r>
      <w:r w:rsidRPr="00E116B6" w:rsidR="00AA00EF">
        <w:rPr>
          <w:lang w:val="en-GB"/>
        </w:rPr>
        <w:t xml:space="preserve">s </w:t>
      </w:r>
      <w:r w:rsidRPr="00E116B6" w:rsidR="00357DB0">
        <w:rPr>
          <w:lang w:val="en-GB"/>
        </w:rPr>
        <w:t>confirmati</w:t>
      </w:r>
      <w:r w:rsidRPr="00E116B6" w:rsidR="006555F4">
        <w:rPr>
          <w:lang w:val="en-GB"/>
        </w:rPr>
        <w:t xml:space="preserve">on </w:t>
      </w:r>
      <w:r w:rsidRPr="00E116B6" w:rsidR="00357DB0">
        <w:rPr>
          <w:lang w:val="en-GB"/>
        </w:rPr>
        <w:t>of his initial confessi</w:t>
      </w:r>
      <w:r w:rsidRPr="00E116B6" w:rsidR="006555F4">
        <w:rPr>
          <w:lang w:val="en-GB"/>
        </w:rPr>
        <w:t xml:space="preserve">on </w:t>
      </w:r>
      <w:r w:rsidRPr="00E116B6" w:rsidR="00357DB0">
        <w:rPr>
          <w:lang w:val="en-GB"/>
        </w:rPr>
        <w:t>at the crime scene</w:t>
      </w:r>
      <w:r w:rsidRPr="00E116B6" w:rsidR="00AA00EF">
        <w:rPr>
          <w:lang w:val="en-GB"/>
        </w:rPr>
        <w:t>;</w:t>
      </w:r>
      <w:r w:rsidRPr="00E116B6" w:rsidR="00357DB0">
        <w:rPr>
          <w:lang w:val="en-GB"/>
        </w:rPr>
        <w:t xml:space="preserve"> the public </w:t>
      </w:r>
      <w:r w:rsidRPr="00E116B6" w:rsidR="00652E1E">
        <w:rPr>
          <w:lang w:val="en-GB"/>
        </w:rPr>
        <w:t xml:space="preserve">defence </w:t>
      </w:r>
      <w:r w:rsidRPr="00E116B6" w:rsidR="00357DB0">
        <w:rPr>
          <w:lang w:val="en-GB"/>
        </w:rPr>
        <w:t>lawyer who had been assigned to the applicant after his arrest and first interview</w:t>
      </w:r>
      <w:r w:rsidRPr="00E116B6" w:rsidR="00AA00EF">
        <w:rPr>
          <w:lang w:val="en-GB"/>
        </w:rPr>
        <w:t>;</w:t>
      </w:r>
      <w:r w:rsidRPr="00E116B6" w:rsidR="00357DB0">
        <w:rPr>
          <w:lang w:val="en-GB"/>
        </w:rPr>
        <w:t xml:space="preserve"> G.B.,</w:t>
      </w:r>
      <w:r w:rsidRPr="00E116B6" w:rsidR="00FF0611">
        <w:rPr>
          <w:lang w:val="en-GB"/>
        </w:rPr>
        <w:t xml:space="preserve"> the judge who had ordered the applicant</w:t>
      </w:r>
      <w:r w:rsidRPr="00E116B6" w:rsidR="00E116B6">
        <w:rPr>
          <w:lang w:val="en-GB"/>
        </w:rPr>
        <w:t>’</w:t>
      </w:r>
      <w:r w:rsidRPr="00E116B6" w:rsidR="00FF0611">
        <w:rPr>
          <w:lang w:val="en-GB"/>
        </w:rPr>
        <w:t>s pre-trial detenti</w:t>
      </w:r>
      <w:r w:rsidRPr="00E116B6" w:rsidR="006555F4">
        <w:rPr>
          <w:lang w:val="en-GB"/>
        </w:rPr>
        <w:t xml:space="preserve">on on </w:t>
      </w:r>
      <w:r w:rsidRPr="00E116B6" w:rsidR="00FF0611">
        <w:rPr>
          <w:lang w:val="en-GB"/>
        </w:rPr>
        <w:t>16 May 2004</w:t>
      </w:r>
      <w:r w:rsidRPr="00E116B6" w:rsidR="00AA00EF">
        <w:rPr>
          <w:lang w:val="en-GB"/>
        </w:rPr>
        <w:t>;</w:t>
      </w:r>
      <w:r w:rsidRPr="00E116B6" w:rsidR="00FF0611">
        <w:rPr>
          <w:lang w:val="en-GB"/>
        </w:rPr>
        <w:t xml:space="preserve"> two relatives of the first applicant who had attended the above-mentioned </w:t>
      </w:r>
      <w:r w:rsidRPr="00E116B6" w:rsidR="00AA00EF">
        <w:rPr>
          <w:lang w:val="en-GB"/>
        </w:rPr>
        <w:t xml:space="preserve">hearing; </w:t>
      </w:r>
      <w:r w:rsidRPr="00E116B6" w:rsidR="00FF0611">
        <w:rPr>
          <w:lang w:val="en-GB"/>
        </w:rPr>
        <w:t>and</w:t>
      </w:r>
      <w:r w:rsidRPr="00E116B6" w:rsidR="00357DB0">
        <w:rPr>
          <w:lang w:val="en-GB"/>
        </w:rPr>
        <w:t xml:space="preserve"> the doctor </w:t>
      </w:r>
      <w:r w:rsidRPr="00E116B6" w:rsidR="00AA00EF">
        <w:rPr>
          <w:lang w:val="en-GB"/>
        </w:rPr>
        <w:t>from P</w:t>
      </w:r>
      <w:r w:rsidRPr="00E116B6" w:rsidR="00357DB0">
        <w:rPr>
          <w:lang w:val="en-GB"/>
        </w:rPr>
        <w:t>ris</w:t>
      </w:r>
      <w:r w:rsidRPr="00E116B6" w:rsidR="006555F4">
        <w:rPr>
          <w:lang w:val="en-GB"/>
        </w:rPr>
        <w:t xml:space="preserve">on </w:t>
      </w:r>
      <w:r w:rsidRPr="00E116B6" w:rsidR="00357DB0">
        <w:rPr>
          <w:lang w:val="en-GB"/>
        </w:rPr>
        <w:t>no.</w:t>
      </w:r>
      <w:r w:rsidRPr="00E116B6" w:rsidR="0046550C">
        <w:rPr>
          <w:lang w:val="en-GB"/>
        </w:rPr>
        <w:t> </w:t>
      </w:r>
      <w:r w:rsidRPr="00E116B6" w:rsidR="00357DB0">
        <w:rPr>
          <w:lang w:val="en-GB"/>
        </w:rPr>
        <w:t>7</w:t>
      </w:r>
      <w:r w:rsidRPr="00E116B6" w:rsidR="006555F4">
        <w:rPr>
          <w:lang w:val="en-GB"/>
        </w:rPr>
        <w:t xml:space="preserve"> </w:t>
      </w:r>
      <w:r w:rsidRPr="00E116B6" w:rsidR="00357DB0">
        <w:rPr>
          <w:lang w:val="en-GB"/>
        </w:rPr>
        <w:t xml:space="preserve">who had </w:t>
      </w:r>
      <w:r w:rsidRPr="00E116B6" w:rsidR="00AA00EF">
        <w:rPr>
          <w:lang w:val="en-GB"/>
        </w:rPr>
        <w:t xml:space="preserve">carried out </w:t>
      </w:r>
      <w:r w:rsidRPr="00E116B6" w:rsidR="00652E1E">
        <w:rPr>
          <w:lang w:val="en-GB"/>
        </w:rPr>
        <w:t>a</w:t>
      </w:r>
      <w:r w:rsidRPr="00E116B6" w:rsidR="00AA00EF">
        <w:rPr>
          <w:lang w:val="en-GB"/>
        </w:rPr>
        <w:t xml:space="preserve"> visual examinati</w:t>
      </w:r>
      <w:r w:rsidRPr="00E116B6" w:rsidR="006555F4">
        <w:rPr>
          <w:lang w:val="en-GB"/>
        </w:rPr>
        <w:t xml:space="preserve">on </w:t>
      </w:r>
      <w:r w:rsidRPr="00E116B6" w:rsidR="00AA00EF">
        <w:rPr>
          <w:lang w:val="en-GB"/>
        </w:rPr>
        <w:t xml:space="preserve">of </w:t>
      </w:r>
      <w:r w:rsidRPr="00E116B6" w:rsidR="00FF0611">
        <w:rPr>
          <w:lang w:val="en-GB"/>
        </w:rPr>
        <w:t xml:space="preserve">the applicant at the time of his </w:t>
      </w:r>
      <w:r w:rsidRPr="00E116B6" w:rsidR="00AA00EF">
        <w:rPr>
          <w:lang w:val="en-GB"/>
        </w:rPr>
        <w:t>admissi</w:t>
      </w:r>
      <w:r w:rsidRPr="00E116B6" w:rsidR="006555F4">
        <w:rPr>
          <w:lang w:val="en-GB"/>
        </w:rPr>
        <w:t xml:space="preserve">on </w:t>
      </w:r>
      <w:r w:rsidRPr="00E116B6" w:rsidR="00AA00EF">
        <w:rPr>
          <w:lang w:val="en-GB"/>
        </w:rPr>
        <w:t xml:space="preserve">to </w:t>
      </w:r>
      <w:r w:rsidRPr="00E116B6" w:rsidR="00FF0611">
        <w:rPr>
          <w:lang w:val="en-GB"/>
        </w:rPr>
        <w:t>prison. None of th</w:t>
      </w:r>
      <w:r w:rsidRPr="00E116B6" w:rsidR="00AA00EF">
        <w:rPr>
          <w:lang w:val="en-GB"/>
        </w:rPr>
        <w:t xml:space="preserve">ose </w:t>
      </w:r>
      <w:r w:rsidRPr="00E116B6" w:rsidR="00FF0611">
        <w:rPr>
          <w:lang w:val="en-GB"/>
        </w:rPr>
        <w:t xml:space="preserve">people </w:t>
      </w:r>
      <w:r w:rsidRPr="00E116B6" w:rsidR="00AA00EF">
        <w:rPr>
          <w:lang w:val="en-GB"/>
        </w:rPr>
        <w:t xml:space="preserve">said they had </w:t>
      </w:r>
      <w:r w:rsidRPr="00E116B6" w:rsidR="00FF0611">
        <w:rPr>
          <w:lang w:val="en-GB"/>
        </w:rPr>
        <w:t xml:space="preserve">seen marks of ill-treatment </w:t>
      </w:r>
      <w:r w:rsidRPr="00E116B6" w:rsidR="006555F4">
        <w:rPr>
          <w:lang w:val="en-GB"/>
        </w:rPr>
        <w:t xml:space="preserve">on </w:t>
      </w:r>
      <w:r w:rsidRPr="00E116B6" w:rsidR="00FF0611">
        <w:rPr>
          <w:lang w:val="en-GB"/>
        </w:rPr>
        <w:t>the first applicant. In addition</w:t>
      </w:r>
      <w:r w:rsidRPr="00E116B6" w:rsidR="00AA00EF">
        <w:rPr>
          <w:lang w:val="en-GB"/>
        </w:rPr>
        <w:t xml:space="preserve">, </w:t>
      </w:r>
      <w:r w:rsidRPr="00E116B6" w:rsidR="00FF0611">
        <w:rPr>
          <w:lang w:val="en-GB"/>
        </w:rPr>
        <w:t>all three police officers accused by the first applicant</w:t>
      </w:r>
      <w:r w:rsidRPr="00E116B6" w:rsidR="007A34FB">
        <w:rPr>
          <w:lang w:val="en-GB"/>
        </w:rPr>
        <w:t xml:space="preserve"> of</w:t>
      </w:r>
      <w:r w:rsidRPr="00E116B6" w:rsidR="00FF0611">
        <w:rPr>
          <w:lang w:val="en-GB"/>
        </w:rPr>
        <w:t xml:space="preserve"> ill-treatment denied those accusations </w:t>
      </w:r>
      <w:r w:rsidRPr="00E116B6" w:rsidR="00AA00EF">
        <w:rPr>
          <w:lang w:val="en-GB"/>
        </w:rPr>
        <w:t>when questioned by the Inspectorate General of the CPPO.</w:t>
      </w:r>
    </w:p>
    <w:bookmarkStart w:name="criminvestfinish" w:id="31"/>
    <w:p w:rsidRPr="00E116B6" w:rsidR="001C790D" w:rsidP="00E116B6" w:rsidRDefault="004C4CF3">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53</w:t>
      </w:r>
      <w:r w:rsidRPr="00E116B6">
        <w:rPr>
          <w:lang w:val="en-GB"/>
        </w:rPr>
        <w:fldChar w:fldCharType="end"/>
      </w:r>
      <w:bookmarkEnd w:id="31"/>
      <w:r w:rsidRPr="00E116B6" w:rsidR="00AC1180">
        <w:rPr>
          <w:lang w:val="en-GB"/>
        </w:rPr>
        <w:t>.  </w:t>
      </w:r>
      <w:r w:rsidRPr="00E116B6" w:rsidR="001C790D">
        <w:rPr>
          <w:lang w:val="en-GB"/>
        </w:rPr>
        <w:t>On 15 November 2004 another medical expert examined the first applicant at the request of the Inspectorate General of the C</w:t>
      </w:r>
      <w:r w:rsidRPr="00E116B6" w:rsidR="007A34FB">
        <w:rPr>
          <w:lang w:val="en-GB"/>
        </w:rPr>
        <w:t>PPO</w:t>
      </w:r>
      <w:r w:rsidRPr="00E116B6" w:rsidR="001C790D">
        <w:rPr>
          <w:lang w:val="en-GB"/>
        </w:rPr>
        <w:t>. As well as confirming the findings of the previous expert report</w:t>
      </w:r>
      <w:r w:rsidRPr="00E116B6" w:rsidR="00B41119">
        <w:rPr>
          <w:lang w:val="en-GB"/>
        </w:rPr>
        <w:t> </w:t>
      </w:r>
      <w:r w:rsidRPr="00E116B6" w:rsidR="007A34FB">
        <w:rPr>
          <w:lang w:val="en-GB"/>
        </w:rPr>
        <w:t>(see paragraph</w:t>
      </w:r>
      <w:r w:rsidRPr="00E116B6" w:rsidR="00B41119">
        <w:rPr>
          <w:lang w:val="en-GB"/>
        </w:rPr>
        <w:t> </w:t>
      </w:r>
      <w:r w:rsidRPr="00E116B6" w:rsidR="00B41119">
        <w:rPr>
          <w:lang w:val="en-GB"/>
        </w:rPr>
        <w:fldChar w:fldCharType="begin"/>
      </w:r>
      <w:r w:rsidRPr="00E116B6" w:rsidR="00B41119">
        <w:rPr>
          <w:lang w:val="en-GB"/>
        </w:rPr>
        <w:instrText xml:space="preserve"> REF medreport2 \h </w:instrText>
      </w:r>
      <w:r w:rsidRPr="00E116B6" w:rsidR="00B41119">
        <w:rPr>
          <w:lang w:val="en-GB"/>
        </w:rPr>
      </w:r>
      <w:r w:rsidRPr="00E116B6" w:rsidR="00B41119">
        <w:rPr>
          <w:lang w:val="en-GB"/>
        </w:rPr>
        <w:fldChar w:fldCharType="separate"/>
      </w:r>
      <w:r w:rsidRPr="00E116B6" w:rsidR="00E116B6">
        <w:rPr>
          <w:noProof/>
          <w:lang w:val="en-GB"/>
        </w:rPr>
        <w:t>51</w:t>
      </w:r>
      <w:r w:rsidRPr="00E116B6" w:rsidR="00B41119">
        <w:rPr>
          <w:lang w:val="en-GB"/>
        </w:rPr>
        <w:fldChar w:fldCharType="end"/>
      </w:r>
      <w:r w:rsidRPr="00E116B6" w:rsidR="00B41119">
        <w:rPr>
          <w:lang w:val="en-GB"/>
        </w:rPr>
        <w:t xml:space="preserve"> </w:t>
      </w:r>
      <w:r w:rsidRPr="00E116B6" w:rsidR="007A34FB">
        <w:rPr>
          <w:lang w:val="en-GB"/>
        </w:rPr>
        <w:t>above)</w:t>
      </w:r>
      <w:r w:rsidRPr="00E116B6" w:rsidR="001C790D">
        <w:rPr>
          <w:lang w:val="en-GB"/>
        </w:rPr>
        <w:t>, he added that the zygomatic bone surrounding the left eye was deformed.</w:t>
      </w:r>
    </w:p>
    <w:p w:rsidRPr="00E116B6" w:rsidR="00AC1180" w:rsidP="00E116B6" w:rsidRDefault="004C4CF3">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54</w:t>
      </w:r>
      <w:r w:rsidRPr="00E116B6">
        <w:rPr>
          <w:lang w:val="en-GB"/>
        </w:rPr>
        <w:fldChar w:fldCharType="end"/>
      </w:r>
      <w:r w:rsidRPr="00E116B6" w:rsidR="001C790D">
        <w:rPr>
          <w:lang w:val="en-GB"/>
        </w:rPr>
        <w:t>.  On 17 November 2004 the Inspectorate General of the C</w:t>
      </w:r>
      <w:r w:rsidRPr="00E116B6" w:rsidR="007A34FB">
        <w:rPr>
          <w:lang w:val="en-GB"/>
        </w:rPr>
        <w:t>PPO</w:t>
      </w:r>
      <w:r w:rsidRPr="00E116B6" w:rsidR="00FF0611">
        <w:rPr>
          <w:lang w:val="en-GB"/>
        </w:rPr>
        <w:t xml:space="preserve">, </w:t>
      </w:r>
      <w:r w:rsidRPr="00E116B6" w:rsidR="006555F4">
        <w:rPr>
          <w:lang w:val="en-GB"/>
        </w:rPr>
        <w:t xml:space="preserve">on </w:t>
      </w:r>
      <w:r w:rsidRPr="00E116B6" w:rsidR="00FF0611">
        <w:rPr>
          <w:lang w:val="en-GB"/>
        </w:rPr>
        <w:t xml:space="preserve">the basis of the statements given by the various witnesses </w:t>
      </w:r>
      <w:r w:rsidRPr="00E116B6" w:rsidR="005E0E48">
        <w:rPr>
          <w:lang w:val="en-GB"/>
        </w:rPr>
        <w:t>as well as the medical reports of 19 October and 15 November 2004,</w:t>
      </w:r>
      <w:r w:rsidRPr="00E116B6" w:rsidR="001C790D">
        <w:rPr>
          <w:lang w:val="en-GB"/>
        </w:rPr>
        <w:t xml:space="preserve"> </w:t>
      </w:r>
      <w:r w:rsidRPr="00E116B6" w:rsidR="00AA00EF">
        <w:rPr>
          <w:lang w:val="en-GB"/>
        </w:rPr>
        <w:t xml:space="preserve">decided </w:t>
      </w:r>
      <w:r w:rsidRPr="00E116B6" w:rsidR="001C790D">
        <w:rPr>
          <w:lang w:val="en-GB"/>
        </w:rPr>
        <w:t>not to institute proceedings in re</w:t>
      </w:r>
      <w:r w:rsidRPr="00E116B6" w:rsidR="00C3169E">
        <w:rPr>
          <w:lang w:val="en-GB"/>
        </w:rPr>
        <w:t>lati</w:t>
      </w:r>
      <w:r w:rsidRPr="00E116B6" w:rsidR="006555F4">
        <w:rPr>
          <w:lang w:val="en-GB"/>
        </w:rPr>
        <w:t xml:space="preserve">on </w:t>
      </w:r>
      <w:r w:rsidRPr="00E116B6" w:rsidR="00C3169E">
        <w:rPr>
          <w:lang w:val="en-GB"/>
        </w:rPr>
        <w:t xml:space="preserve">to </w:t>
      </w:r>
      <w:r w:rsidRPr="00E116B6" w:rsidR="001C790D">
        <w:rPr>
          <w:lang w:val="en-GB"/>
        </w:rPr>
        <w:t>the first applicant</w:t>
      </w:r>
      <w:r w:rsidRPr="00E116B6" w:rsidR="00E116B6">
        <w:rPr>
          <w:lang w:val="en-GB"/>
        </w:rPr>
        <w:t>’</w:t>
      </w:r>
      <w:r w:rsidRPr="00E116B6" w:rsidR="001C790D">
        <w:rPr>
          <w:lang w:val="en-GB"/>
        </w:rPr>
        <w:t>s alleged ill-treatment.</w:t>
      </w:r>
    </w:p>
    <w:p w:rsidRPr="00E116B6" w:rsidR="001C790D" w:rsidP="00E116B6" w:rsidRDefault="004C4CF3">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55</w:t>
      </w:r>
      <w:r w:rsidRPr="00E116B6">
        <w:rPr>
          <w:lang w:val="en-GB"/>
        </w:rPr>
        <w:fldChar w:fldCharType="end"/>
      </w:r>
      <w:r w:rsidRPr="00E116B6" w:rsidR="001C790D">
        <w:rPr>
          <w:lang w:val="en-GB"/>
        </w:rPr>
        <w:t>.  </w:t>
      </w:r>
      <w:r w:rsidRPr="00E116B6" w:rsidR="00AA00EF">
        <w:rPr>
          <w:lang w:val="en-GB"/>
        </w:rPr>
        <w:t>The Krtsanisi</w:t>
      </w:r>
      <w:r w:rsidRPr="00E116B6" w:rsidR="00C53673">
        <w:rPr>
          <w:lang w:val="en-GB"/>
        </w:rPr>
        <w:t>-</w:t>
      </w:r>
      <w:r w:rsidRPr="00E116B6" w:rsidR="00AA00EF">
        <w:rPr>
          <w:lang w:val="en-GB"/>
        </w:rPr>
        <w:t xml:space="preserve">Mtatsminda District Court </w:t>
      </w:r>
      <w:r w:rsidRPr="00E116B6" w:rsidR="001C790D">
        <w:rPr>
          <w:lang w:val="en-GB"/>
        </w:rPr>
        <w:t xml:space="preserve">quashed </w:t>
      </w:r>
      <w:r w:rsidRPr="00E116B6" w:rsidR="00AA00EF">
        <w:rPr>
          <w:lang w:val="en-GB"/>
        </w:rPr>
        <w:t>that decisi</w:t>
      </w:r>
      <w:r w:rsidRPr="00E116B6" w:rsidR="006555F4">
        <w:rPr>
          <w:lang w:val="en-GB"/>
        </w:rPr>
        <w:t xml:space="preserve">on on </w:t>
      </w:r>
      <w:r w:rsidRPr="00E116B6" w:rsidR="001C790D">
        <w:rPr>
          <w:lang w:val="en-GB"/>
        </w:rPr>
        <w:t>23</w:t>
      </w:r>
      <w:r w:rsidRPr="00E116B6" w:rsidR="0000400E">
        <w:rPr>
          <w:lang w:val="en-GB"/>
        </w:rPr>
        <w:t> </w:t>
      </w:r>
      <w:r w:rsidRPr="00E116B6" w:rsidR="001C790D">
        <w:rPr>
          <w:lang w:val="en-GB"/>
        </w:rPr>
        <w:t>December 2004</w:t>
      </w:r>
      <w:r w:rsidRPr="00E116B6" w:rsidR="00FF0611">
        <w:rPr>
          <w:lang w:val="en-GB"/>
        </w:rPr>
        <w:t>. The court found that the investigati</w:t>
      </w:r>
      <w:r w:rsidRPr="00E116B6" w:rsidR="006555F4">
        <w:rPr>
          <w:lang w:val="en-GB"/>
        </w:rPr>
        <w:t xml:space="preserve">on </w:t>
      </w:r>
      <w:r w:rsidRPr="00E116B6" w:rsidR="00FF0611">
        <w:rPr>
          <w:lang w:val="en-GB"/>
        </w:rPr>
        <w:t xml:space="preserve">carried out by </w:t>
      </w:r>
      <w:r w:rsidRPr="00E116B6" w:rsidR="00AA00EF">
        <w:rPr>
          <w:lang w:val="en-GB"/>
        </w:rPr>
        <w:t xml:space="preserve">the </w:t>
      </w:r>
      <w:r w:rsidRPr="00E116B6" w:rsidR="00FF0611">
        <w:rPr>
          <w:lang w:val="en-GB"/>
        </w:rPr>
        <w:t>prosecuti</w:t>
      </w:r>
      <w:r w:rsidRPr="00E116B6" w:rsidR="006555F4">
        <w:rPr>
          <w:lang w:val="en-GB"/>
        </w:rPr>
        <w:t xml:space="preserve">on </w:t>
      </w:r>
      <w:r w:rsidRPr="00E116B6" w:rsidR="00FF0611">
        <w:rPr>
          <w:lang w:val="en-GB"/>
        </w:rPr>
        <w:t xml:space="preserve">authority had </w:t>
      </w:r>
      <w:r w:rsidRPr="00E116B6" w:rsidR="00AA00EF">
        <w:rPr>
          <w:lang w:val="en-GB"/>
        </w:rPr>
        <w:t xml:space="preserve">not been </w:t>
      </w:r>
      <w:r w:rsidRPr="00E116B6" w:rsidR="00FF0611">
        <w:rPr>
          <w:lang w:val="en-GB"/>
        </w:rPr>
        <w:t>comprehensive</w:t>
      </w:r>
      <w:r w:rsidRPr="00E116B6" w:rsidR="00AA00EF">
        <w:rPr>
          <w:lang w:val="en-GB"/>
        </w:rPr>
        <w:t xml:space="preserve"> enough</w:t>
      </w:r>
      <w:r w:rsidRPr="00E116B6" w:rsidR="00FF0611">
        <w:rPr>
          <w:lang w:val="en-GB"/>
        </w:rPr>
        <w:t xml:space="preserve">, and </w:t>
      </w:r>
      <w:r w:rsidRPr="00E116B6" w:rsidR="001C790D">
        <w:rPr>
          <w:lang w:val="en-GB"/>
        </w:rPr>
        <w:t xml:space="preserve">ordered the Inspectorate General to </w:t>
      </w:r>
      <w:r w:rsidRPr="00E116B6" w:rsidR="00FF0611">
        <w:rPr>
          <w:lang w:val="en-GB"/>
        </w:rPr>
        <w:t>undertake further investigative actions aimed at re</w:t>
      </w:r>
      <w:r w:rsidRPr="00E116B6" w:rsidR="00195F9C">
        <w:rPr>
          <w:lang w:val="en-GB"/>
        </w:rPr>
        <w:noBreakHyphen/>
      </w:r>
      <w:r w:rsidRPr="00E116B6" w:rsidR="00FF0611">
        <w:rPr>
          <w:lang w:val="en-GB"/>
        </w:rPr>
        <w:t>examin</w:t>
      </w:r>
      <w:r w:rsidRPr="00E116B6" w:rsidR="00AA00EF">
        <w:rPr>
          <w:lang w:val="en-GB"/>
        </w:rPr>
        <w:t xml:space="preserve">ing </w:t>
      </w:r>
      <w:r w:rsidRPr="00E116B6" w:rsidR="001C790D">
        <w:rPr>
          <w:lang w:val="en-GB"/>
        </w:rPr>
        <w:t>the well</w:t>
      </w:r>
      <w:r w:rsidRPr="00E116B6" w:rsidR="00195F9C">
        <w:rPr>
          <w:lang w:val="en-GB"/>
        </w:rPr>
        <w:noBreakHyphen/>
      </w:r>
      <w:r w:rsidRPr="00E116B6" w:rsidR="001C790D">
        <w:rPr>
          <w:lang w:val="en-GB"/>
        </w:rPr>
        <w:t>foundedness of th</w:t>
      </w:r>
      <w:r w:rsidRPr="00E116B6" w:rsidR="00FF0611">
        <w:rPr>
          <w:lang w:val="en-GB"/>
        </w:rPr>
        <w:t>e serious</w:t>
      </w:r>
      <w:r w:rsidRPr="00E116B6" w:rsidR="001C790D">
        <w:rPr>
          <w:lang w:val="en-GB"/>
        </w:rPr>
        <w:t xml:space="preserve"> allegations</w:t>
      </w:r>
      <w:r w:rsidRPr="00E116B6" w:rsidR="00AA00EF">
        <w:rPr>
          <w:lang w:val="en-GB"/>
        </w:rPr>
        <w:t xml:space="preserve"> made by the first applicant</w:t>
      </w:r>
      <w:r w:rsidRPr="00E116B6" w:rsidR="001C790D">
        <w:rPr>
          <w:lang w:val="en-GB"/>
        </w:rPr>
        <w:t>. On 8 February 2005 that decisi</w:t>
      </w:r>
      <w:r w:rsidRPr="00E116B6" w:rsidR="006555F4">
        <w:rPr>
          <w:lang w:val="en-GB"/>
        </w:rPr>
        <w:t xml:space="preserve">on </w:t>
      </w:r>
      <w:r w:rsidRPr="00E116B6" w:rsidR="001C790D">
        <w:rPr>
          <w:lang w:val="en-GB"/>
        </w:rPr>
        <w:t>was upheld at final instance by the Supreme Court</w:t>
      </w:r>
      <w:r w:rsidRPr="00E116B6" w:rsidR="00FF0611">
        <w:rPr>
          <w:lang w:val="en-GB"/>
        </w:rPr>
        <w:t>,</w:t>
      </w:r>
      <w:r w:rsidRPr="00E116B6" w:rsidR="001C790D">
        <w:rPr>
          <w:lang w:val="en-GB"/>
        </w:rPr>
        <w:t xml:space="preserve"> and </w:t>
      </w:r>
      <w:r w:rsidRPr="00E116B6" w:rsidR="006555F4">
        <w:rPr>
          <w:lang w:val="en-GB"/>
        </w:rPr>
        <w:t xml:space="preserve">on </w:t>
      </w:r>
      <w:r w:rsidRPr="00E116B6" w:rsidR="001C790D">
        <w:rPr>
          <w:lang w:val="en-GB"/>
        </w:rPr>
        <w:t>24 February 2005 criminal proceedings were initiated in the case under Article 126 § 1 of the Criminal Code (torture).</w:t>
      </w:r>
    </w:p>
    <w:p w:rsidRPr="00E116B6" w:rsidR="00FF0611" w:rsidP="00E116B6" w:rsidRDefault="004C4CF3">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56</w:t>
      </w:r>
      <w:r w:rsidRPr="00E116B6">
        <w:rPr>
          <w:lang w:val="en-GB"/>
        </w:rPr>
        <w:fldChar w:fldCharType="end"/>
      </w:r>
      <w:r w:rsidRPr="00E116B6" w:rsidR="00CC208C">
        <w:rPr>
          <w:lang w:val="en-GB"/>
        </w:rPr>
        <w:t>.  </w:t>
      </w:r>
      <w:r w:rsidRPr="00E116B6" w:rsidR="003D402D">
        <w:rPr>
          <w:lang w:val="en-GB"/>
        </w:rPr>
        <w:t xml:space="preserve">After </w:t>
      </w:r>
      <w:r w:rsidRPr="00E116B6" w:rsidR="005E0E48">
        <w:rPr>
          <w:lang w:val="en-GB"/>
        </w:rPr>
        <w:t xml:space="preserve">the </w:t>
      </w:r>
      <w:r w:rsidRPr="00E116B6" w:rsidR="00652E1E">
        <w:rPr>
          <w:lang w:val="en-GB"/>
        </w:rPr>
        <w:t xml:space="preserve">reopening of the </w:t>
      </w:r>
      <w:r w:rsidRPr="00E116B6" w:rsidR="005E0E48">
        <w:rPr>
          <w:lang w:val="en-GB"/>
        </w:rPr>
        <w:t>investigati</w:t>
      </w:r>
      <w:r w:rsidRPr="00E116B6" w:rsidR="006555F4">
        <w:rPr>
          <w:lang w:val="en-GB"/>
        </w:rPr>
        <w:t xml:space="preserve">on </w:t>
      </w:r>
      <w:r w:rsidRPr="00E116B6" w:rsidR="005E0E48">
        <w:rPr>
          <w:lang w:val="en-GB"/>
        </w:rPr>
        <w:t>the prosecutorial</w:t>
      </w:r>
      <w:r w:rsidRPr="00E116B6" w:rsidR="00861BED">
        <w:rPr>
          <w:lang w:val="en-GB"/>
        </w:rPr>
        <w:t xml:space="preserve"> </w:t>
      </w:r>
      <w:r w:rsidRPr="00E116B6" w:rsidR="005E0E48">
        <w:rPr>
          <w:lang w:val="en-GB"/>
        </w:rPr>
        <w:t xml:space="preserve">authority </w:t>
      </w:r>
      <w:r w:rsidRPr="00E116B6" w:rsidR="003D402D">
        <w:rPr>
          <w:lang w:val="en-GB"/>
        </w:rPr>
        <w:t>q</w:t>
      </w:r>
      <w:r w:rsidRPr="00E116B6" w:rsidR="005E0E48">
        <w:rPr>
          <w:lang w:val="en-GB"/>
        </w:rPr>
        <w:t>uestioned the same people who had already been questioned in October</w:t>
      </w:r>
      <w:r w:rsidRPr="00E116B6" w:rsidR="007132AA">
        <w:rPr>
          <w:lang w:val="en-GB"/>
        </w:rPr>
        <w:noBreakHyphen/>
      </w:r>
      <w:r w:rsidRPr="00E116B6" w:rsidR="005E0E48">
        <w:rPr>
          <w:lang w:val="en-GB"/>
        </w:rPr>
        <w:t xml:space="preserve">November 2004. </w:t>
      </w:r>
      <w:r w:rsidRPr="00E116B6" w:rsidR="00652E1E">
        <w:rPr>
          <w:lang w:val="en-GB"/>
        </w:rPr>
        <w:t>T</w:t>
      </w:r>
      <w:r w:rsidRPr="00E116B6" w:rsidR="005E0E48">
        <w:rPr>
          <w:lang w:val="en-GB"/>
        </w:rPr>
        <w:t>he applicant</w:t>
      </w:r>
      <w:r w:rsidRPr="00E116B6" w:rsidR="00652E1E">
        <w:rPr>
          <w:lang w:val="en-GB"/>
        </w:rPr>
        <w:t xml:space="preserve"> was also examined again </w:t>
      </w:r>
      <w:r w:rsidRPr="00E116B6" w:rsidR="005E0E48">
        <w:rPr>
          <w:lang w:val="en-GB"/>
        </w:rPr>
        <w:t>in April</w:t>
      </w:r>
      <w:r w:rsidRPr="00E116B6" w:rsidR="007132AA">
        <w:rPr>
          <w:lang w:val="en-GB"/>
        </w:rPr>
        <w:t> </w:t>
      </w:r>
      <w:r w:rsidRPr="00E116B6" w:rsidR="005E0E48">
        <w:rPr>
          <w:lang w:val="en-GB"/>
        </w:rPr>
        <w:t>2005</w:t>
      </w:r>
      <w:r w:rsidRPr="00E116B6" w:rsidR="00652E1E">
        <w:rPr>
          <w:lang w:val="en-GB"/>
        </w:rPr>
        <w:t>. A</w:t>
      </w:r>
      <w:r w:rsidRPr="00E116B6" w:rsidR="006555F4">
        <w:rPr>
          <w:lang w:val="en-GB"/>
        </w:rPr>
        <w:t xml:space="preserve"> </w:t>
      </w:r>
      <w:r w:rsidRPr="00E116B6" w:rsidR="00652E1E">
        <w:rPr>
          <w:lang w:val="en-GB"/>
        </w:rPr>
        <w:t xml:space="preserve">report </w:t>
      </w:r>
      <w:r w:rsidRPr="00E116B6" w:rsidR="005E0E48">
        <w:rPr>
          <w:lang w:val="en-GB"/>
        </w:rPr>
        <w:t xml:space="preserve">issued </w:t>
      </w:r>
      <w:r w:rsidRPr="00E116B6" w:rsidR="006555F4">
        <w:rPr>
          <w:lang w:val="en-GB"/>
        </w:rPr>
        <w:t xml:space="preserve">on </w:t>
      </w:r>
      <w:r w:rsidRPr="00E116B6" w:rsidR="005E0E48">
        <w:rPr>
          <w:lang w:val="en-GB"/>
        </w:rPr>
        <w:t>27 April 200</w:t>
      </w:r>
      <w:r w:rsidRPr="00E116B6" w:rsidR="003033F0">
        <w:rPr>
          <w:lang w:val="en-GB"/>
        </w:rPr>
        <w:t>5</w:t>
      </w:r>
      <w:r w:rsidRPr="00E116B6" w:rsidR="005E0E48">
        <w:rPr>
          <w:lang w:val="en-GB"/>
        </w:rPr>
        <w:t xml:space="preserve"> suggested that the deformati</w:t>
      </w:r>
      <w:r w:rsidRPr="00E116B6" w:rsidR="006555F4">
        <w:rPr>
          <w:lang w:val="en-GB"/>
        </w:rPr>
        <w:t xml:space="preserve">on </w:t>
      </w:r>
      <w:r w:rsidRPr="00E116B6" w:rsidR="005E0E48">
        <w:rPr>
          <w:lang w:val="en-GB"/>
        </w:rPr>
        <w:t>of the</w:t>
      </w:r>
      <w:r w:rsidRPr="00E116B6" w:rsidR="00861BED">
        <w:rPr>
          <w:lang w:val="en-GB"/>
        </w:rPr>
        <w:t xml:space="preserve"> </w:t>
      </w:r>
      <w:r w:rsidRPr="00E116B6" w:rsidR="005E0E48">
        <w:rPr>
          <w:lang w:val="en-GB"/>
        </w:rPr>
        <w:t>zygomatic bone surrounding the applicant</w:t>
      </w:r>
      <w:r w:rsidRPr="00E116B6" w:rsidR="00E116B6">
        <w:rPr>
          <w:lang w:val="en-GB"/>
        </w:rPr>
        <w:t>’</w:t>
      </w:r>
      <w:r w:rsidRPr="00E116B6" w:rsidR="005E0E48">
        <w:rPr>
          <w:lang w:val="en-GB"/>
        </w:rPr>
        <w:t xml:space="preserve">s left eye could not be said with certainty to have been caused by a traumatic injury </w:t>
      </w:r>
      <w:r w:rsidRPr="00E116B6" w:rsidR="003D402D">
        <w:rPr>
          <w:lang w:val="en-GB"/>
        </w:rPr>
        <w:t xml:space="preserve">from </w:t>
      </w:r>
      <w:r w:rsidRPr="00E116B6" w:rsidR="005E0E48">
        <w:rPr>
          <w:lang w:val="en-GB"/>
        </w:rPr>
        <w:t>a dense or blunt object in 2004.</w:t>
      </w:r>
    </w:p>
    <w:bookmarkStart w:name="ongoing" w:id="32"/>
    <w:p w:rsidRPr="00E116B6" w:rsidR="00FF56F0" w:rsidP="00E116B6" w:rsidRDefault="004C4CF3">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57</w:t>
      </w:r>
      <w:r w:rsidRPr="00E116B6">
        <w:rPr>
          <w:lang w:val="en-GB"/>
        </w:rPr>
        <w:fldChar w:fldCharType="end"/>
      </w:r>
      <w:bookmarkEnd w:id="32"/>
      <w:r w:rsidRPr="00E116B6" w:rsidR="00FF56F0">
        <w:rPr>
          <w:lang w:val="en-GB"/>
        </w:rPr>
        <w:t>.  According to the case file as it stands, including the parties</w:t>
      </w:r>
      <w:r w:rsidRPr="00E116B6" w:rsidR="00E116B6">
        <w:rPr>
          <w:lang w:val="en-GB"/>
        </w:rPr>
        <w:t>’</w:t>
      </w:r>
      <w:r w:rsidRPr="00E116B6" w:rsidR="00FF56F0">
        <w:rPr>
          <w:lang w:val="en-GB"/>
        </w:rPr>
        <w:t xml:space="preserve"> most recent factual</w:t>
      </w:r>
      <w:r w:rsidRPr="00E116B6" w:rsidR="00D80F67">
        <w:rPr>
          <w:lang w:val="en-GB"/>
        </w:rPr>
        <w:t xml:space="preserve"> addendum</w:t>
      </w:r>
      <w:r w:rsidRPr="00E116B6" w:rsidR="00652E1E">
        <w:rPr>
          <w:lang w:val="en-GB"/>
        </w:rPr>
        <w:t>s</w:t>
      </w:r>
      <w:r w:rsidRPr="00E116B6" w:rsidR="00D80F67">
        <w:rPr>
          <w:lang w:val="en-GB"/>
        </w:rPr>
        <w:t xml:space="preserve">, </w:t>
      </w:r>
      <w:r w:rsidRPr="00E116B6" w:rsidR="003D402D">
        <w:rPr>
          <w:lang w:val="en-GB"/>
        </w:rPr>
        <w:t xml:space="preserve">the relevant authorities never took a </w:t>
      </w:r>
      <w:r w:rsidRPr="00E116B6" w:rsidR="00D80F67">
        <w:rPr>
          <w:lang w:val="en-GB"/>
        </w:rPr>
        <w:t>definit</w:t>
      </w:r>
      <w:r w:rsidRPr="00E116B6" w:rsidR="003D402D">
        <w:rPr>
          <w:lang w:val="en-GB"/>
        </w:rPr>
        <w:t xml:space="preserve">ive </w:t>
      </w:r>
      <w:r w:rsidRPr="00E116B6" w:rsidR="00D80F67">
        <w:rPr>
          <w:lang w:val="en-GB"/>
        </w:rPr>
        <w:t>decisi</w:t>
      </w:r>
      <w:r w:rsidRPr="00E116B6" w:rsidR="006555F4">
        <w:rPr>
          <w:lang w:val="en-GB"/>
        </w:rPr>
        <w:t xml:space="preserve">on </w:t>
      </w:r>
      <w:r w:rsidRPr="00E116B6" w:rsidR="00C3169E">
        <w:rPr>
          <w:lang w:val="en-GB"/>
        </w:rPr>
        <w:t>in relati</w:t>
      </w:r>
      <w:r w:rsidRPr="00E116B6" w:rsidR="006555F4">
        <w:rPr>
          <w:lang w:val="en-GB"/>
        </w:rPr>
        <w:t xml:space="preserve">on </w:t>
      </w:r>
      <w:r w:rsidRPr="00E116B6" w:rsidR="00C3169E">
        <w:rPr>
          <w:lang w:val="en-GB"/>
        </w:rPr>
        <w:t xml:space="preserve">to </w:t>
      </w:r>
      <w:r w:rsidRPr="00E116B6" w:rsidR="00D80F67">
        <w:rPr>
          <w:lang w:val="en-GB"/>
        </w:rPr>
        <w:t>the investigati</w:t>
      </w:r>
      <w:r w:rsidRPr="00E116B6" w:rsidR="006555F4">
        <w:rPr>
          <w:lang w:val="en-GB"/>
        </w:rPr>
        <w:t xml:space="preserve">on </w:t>
      </w:r>
      <w:r w:rsidRPr="00E116B6" w:rsidR="00BB7774">
        <w:rPr>
          <w:lang w:val="en-GB"/>
        </w:rPr>
        <w:t>of</w:t>
      </w:r>
      <w:r w:rsidRPr="00E116B6" w:rsidR="00D80F67">
        <w:rPr>
          <w:lang w:val="en-GB"/>
        </w:rPr>
        <w:t xml:space="preserve"> the applicant</w:t>
      </w:r>
      <w:r w:rsidRPr="00E116B6" w:rsidR="00E116B6">
        <w:rPr>
          <w:lang w:val="en-GB"/>
        </w:rPr>
        <w:t>’</w:t>
      </w:r>
      <w:r w:rsidRPr="00E116B6" w:rsidR="00D80F67">
        <w:rPr>
          <w:lang w:val="en-GB"/>
        </w:rPr>
        <w:t>s torture case under Article</w:t>
      </w:r>
      <w:r w:rsidRPr="00E116B6" w:rsidR="007132AA">
        <w:rPr>
          <w:lang w:val="en-GB"/>
        </w:rPr>
        <w:t> </w:t>
      </w:r>
      <w:r w:rsidRPr="00E116B6" w:rsidR="00D80F67">
        <w:rPr>
          <w:lang w:val="en-GB"/>
        </w:rPr>
        <w:t>126 §</w:t>
      </w:r>
      <w:r w:rsidRPr="00E116B6" w:rsidR="007132AA">
        <w:rPr>
          <w:lang w:val="en-GB"/>
        </w:rPr>
        <w:t> </w:t>
      </w:r>
      <w:r w:rsidRPr="00E116B6" w:rsidR="00D80F67">
        <w:rPr>
          <w:lang w:val="en-GB"/>
        </w:rPr>
        <w:t>1 of the Criminal Code.</w:t>
      </w:r>
    </w:p>
    <w:p w:rsidRPr="00E116B6" w:rsidR="00C3616C" w:rsidP="00E116B6" w:rsidRDefault="006555F4">
      <w:pPr>
        <w:pStyle w:val="ECHRHeading2"/>
        <w:rPr>
          <w:lang w:val="en-GB"/>
        </w:rPr>
      </w:pPr>
      <w:r w:rsidRPr="00E116B6">
        <w:rPr>
          <w:lang w:val="en-GB"/>
        </w:rPr>
        <w:t>D.  </w:t>
      </w:r>
      <w:r w:rsidRPr="00E116B6" w:rsidR="00C3616C">
        <w:rPr>
          <w:lang w:val="en-GB"/>
        </w:rPr>
        <w:t>Trial</w:t>
      </w:r>
    </w:p>
    <w:p w:rsidRPr="00E116B6" w:rsidR="00AC1180" w:rsidP="00E116B6" w:rsidRDefault="004C4CF3">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58</w:t>
      </w:r>
      <w:r w:rsidRPr="00E116B6">
        <w:rPr>
          <w:lang w:val="en-GB"/>
        </w:rPr>
        <w:fldChar w:fldCharType="end"/>
      </w:r>
      <w:r w:rsidRPr="00E116B6" w:rsidR="00C3616C">
        <w:rPr>
          <w:lang w:val="en-GB"/>
        </w:rPr>
        <w:t>.  </w:t>
      </w:r>
      <w:r w:rsidRPr="00E116B6" w:rsidR="005F25D2">
        <w:rPr>
          <w:lang w:val="en-GB"/>
        </w:rPr>
        <w:t xml:space="preserve">On 14 September 2006 a trial started </w:t>
      </w:r>
      <w:r w:rsidRPr="00E116B6" w:rsidR="003D402D">
        <w:rPr>
          <w:lang w:val="en-GB"/>
        </w:rPr>
        <w:t>at</w:t>
      </w:r>
      <w:r w:rsidRPr="00E116B6" w:rsidR="00BF08C5">
        <w:rPr>
          <w:lang w:val="en-GB"/>
        </w:rPr>
        <w:t xml:space="preserve"> the Tbilisi Regional Court</w:t>
      </w:r>
      <w:r w:rsidRPr="00E116B6" w:rsidR="005F25D2">
        <w:rPr>
          <w:lang w:val="en-GB"/>
        </w:rPr>
        <w:t>.</w:t>
      </w:r>
    </w:p>
    <w:p w:rsidRPr="00E116B6" w:rsidR="00C3616C" w:rsidP="00E116B6" w:rsidRDefault="004C4CF3">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59</w:t>
      </w:r>
      <w:r w:rsidRPr="00E116B6">
        <w:rPr>
          <w:lang w:val="en-GB"/>
        </w:rPr>
        <w:fldChar w:fldCharType="end"/>
      </w:r>
      <w:r w:rsidRPr="00E116B6" w:rsidR="005F25D2">
        <w:rPr>
          <w:lang w:val="en-GB"/>
        </w:rPr>
        <w:t>.  T</w:t>
      </w:r>
      <w:r w:rsidRPr="00E116B6" w:rsidR="00BF08C5">
        <w:rPr>
          <w:lang w:val="en-GB"/>
        </w:rPr>
        <w:t xml:space="preserve">he first applicant, who was represented by the private lawyer, pleaded innocent, making particular reference to the ill-treatment he had been subjected to in order to obtain a confession. </w:t>
      </w:r>
      <w:r w:rsidRPr="00E116B6" w:rsidR="003E02C0">
        <w:rPr>
          <w:lang w:val="en-GB"/>
        </w:rPr>
        <w:t xml:space="preserve">He </w:t>
      </w:r>
      <w:r w:rsidRPr="00E116B6" w:rsidR="003D402D">
        <w:rPr>
          <w:lang w:val="en-GB"/>
        </w:rPr>
        <w:t xml:space="preserve">complained </w:t>
      </w:r>
      <w:r w:rsidRPr="00E116B6" w:rsidR="003E02C0">
        <w:rPr>
          <w:lang w:val="en-GB"/>
        </w:rPr>
        <w:t>that</w:t>
      </w:r>
      <w:r w:rsidRPr="00E116B6" w:rsidR="007A34FB">
        <w:rPr>
          <w:lang w:val="en-GB"/>
        </w:rPr>
        <w:t xml:space="preserve"> despite </w:t>
      </w:r>
      <w:r w:rsidRPr="00E116B6" w:rsidR="003D402D">
        <w:rPr>
          <w:lang w:val="en-GB"/>
        </w:rPr>
        <w:t xml:space="preserve">repeated </w:t>
      </w:r>
      <w:r w:rsidRPr="00E116B6" w:rsidR="007A34FB">
        <w:rPr>
          <w:lang w:val="en-GB"/>
        </w:rPr>
        <w:t>requests</w:t>
      </w:r>
      <w:r w:rsidRPr="00E116B6" w:rsidR="003E02C0">
        <w:rPr>
          <w:lang w:val="en-GB"/>
        </w:rPr>
        <w:t xml:space="preserve"> the contents of the criminal file opened by the Inspectorate General of the C</w:t>
      </w:r>
      <w:r w:rsidRPr="00E116B6" w:rsidR="00CC208C">
        <w:rPr>
          <w:lang w:val="en-GB"/>
        </w:rPr>
        <w:t>PPO</w:t>
      </w:r>
      <w:r w:rsidRPr="00E116B6" w:rsidR="003E02C0">
        <w:rPr>
          <w:lang w:val="en-GB"/>
        </w:rPr>
        <w:t xml:space="preserve"> with respect to his alleged torture had not been added to the file in the criminal case against </w:t>
      </w:r>
      <w:r w:rsidRPr="00E116B6" w:rsidR="003D402D">
        <w:rPr>
          <w:lang w:val="en-GB"/>
        </w:rPr>
        <w:t xml:space="preserve">him and </w:t>
      </w:r>
      <w:r w:rsidRPr="00E116B6" w:rsidR="003E02C0">
        <w:rPr>
          <w:lang w:val="en-GB"/>
        </w:rPr>
        <w:t xml:space="preserve">the </w:t>
      </w:r>
      <w:r w:rsidRPr="00E116B6" w:rsidR="003D402D">
        <w:rPr>
          <w:lang w:val="en-GB"/>
        </w:rPr>
        <w:t xml:space="preserve">other </w:t>
      </w:r>
      <w:r w:rsidRPr="00E116B6" w:rsidR="003E02C0">
        <w:rPr>
          <w:lang w:val="en-GB"/>
        </w:rPr>
        <w:t>applicant</w:t>
      </w:r>
      <w:r w:rsidRPr="00E116B6" w:rsidR="000D0AB5">
        <w:rPr>
          <w:lang w:val="en-GB"/>
        </w:rPr>
        <w:t xml:space="preserve"> </w:t>
      </w:r>
      <w:r w:rsidRPr="00E116B6" w:rsidR="007A34FB">
        <w:rPr>
          <w:lang w:val="en-GB"/>
        </w:rPr>
        <w:t>(see paragraph</w:t>
      </w:r>
      <w:r w:rsidRPr="00E116B6" w:rsidR="002A6748">
        <w:rPr>
          <w:lang w:val="en-GB"/>
        </w:rPr>
        <w:t xml:space="preserve"> </w:t>
      </w:r>
      <w:r w:rsidRPr="00E116B6" w:rsidR="002A6748">
        <w:rPr>
          <w:lang w:val="en-GB"/>
        </w:rPr>
        <w:fldChar w:fldCharType="begin"/>
      </w:r>
      <w:r w:rsidRPr="00E116B6" w:rsidR="002A6748">
        <w:rPr>
          <w:lang w:val="en-GB"/>
        </w:rPr>
        <w:instrText xml:space="preserve"> REF apprequestreinvest \h </w:instrText>
      </w:r>
      <w:r w:rsidRPr="00E116B6" w:rsidR="002A6748">
        <w:rPr>
          <w:lang w:val="en-GB"/>
        </w:rPr>
      </w:r>
      <w:r w:rsidRPr="00E116B6" w:rsidR="002A6748">
        <w:rPr>
          <w:lang w:val="en-GB"/>
        </w:rPr>
        <w:fldChar w:fldCharType="separate"/>
      </w:r>
      <w:r w:rsidRPr="00E116B6" w:rsidR="00E116B6">
        <w:rPr>
          <w:noProof/>
          <w:lang w:val="en-GB"/>
        </w:rPr>
        <w:t>41</w:t>
      </w:r>
      <w:r w:rsidRPr="00E116B6" w:rsidR="002A6748">
        <w:rPr>
          <w:lang w:val="en-GB"/>
        </w:rPr>
        <w:fldChar w:fldCharType="end"/>
      </w:r>
      <w:r w:rsidRPr="00E116B6" w:rsidR="002A6748">
        <w:rPr>
          <w:lang w:val="en-GB"/>
        </w:rPr>
        <w:t xml:space="preserve"> </w:t>
      </w:r>
      <w:r w:rsidRPr="00E116B6" w:rsidR="007A34FB">
        <w:rPr>
          <w:lang w:val="en-GB"/>
        </w:rPr>
        <w:t>above)</w:t>
      </w:r>
      <w:r w:rsidRPr="00E116B6" w:rsidR="003E02C0">
        <w:rPr>
          <w:lang w:val="en-GB"/>
        </w:rPr>
        <w:t>.</w:t>
      </w:r>
      <w:r w:rsidRPr="00E116B6" w:rsidR="007A34FB">
        <w:rPr>
          <w:lang w:val="en-GB"/>
        </w:rPr>
        <w:t xml:space="preserve"> He insisted that the outcome of the criminal investigati</w:t>
      </w:r>
      <w:r w:rsidRPr="00E116B6" w:rsidR="006555F4">
        <w:rPr>
          <w:lang w:val="en-GB"/>
        </w:rPr>
        <w:t xml:space="preserve">on </w:t>
      </w:r>
      <w:r w:rsidRPr="00E116B6" w:rsidR="007A34FB">
        <w:rPr>
          <w:lang w:val="en-GB"/>
        </w:rPr>
        <w:t>into his ill-treatment would be of decisive importance for the assessment of the well-foundedness of the criminal charges against him and the second applicant.</w:t>
      </w:r>
      <w:r w:rsidRPr="00E116B6" w:rsidR="003E02C0">
        <w:rPr>
          <w:lang w:val="en-GB"/>
        </w:rPr>
        <w:t xml:space="preserve"> The first applicant</w:t>
      </w:r>
      <w:r w:rsidRPr="00E116B6" w:rsidR="00BF08C5">
        <w:rPr>
          <w:lang w:val="en-GB"/>
        </w:rPr>
        <w:t xml:space="preserve"> also underlined the fact that he had an alibi.</w:t>
      </w:r>
    </w:p>
    <w:p w:rsidRPr="00E116B6" w:rsidR="009C67FA" w:rsidP="00E116B6" w:rsidRDefault="004C4CF3">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60</w:t>
      </w:r>
      <w:r w:rsidRPr="00E116B6">
        <w:rPr>
          <w:lang w:val="en-GB"/>
        </w:rPr>
        <w:fldChar w:fldCharType="end"/>
      </w:r>
      <w:r w:rsidRPr="00E116B6" w:rsidR="00BF08C5">
        <w:rPr>
          <w:lang w:val="en-GB"/>
        </w:rPr>
        <w:t>.  </w:t>
      </w:r>
      <w:r w:rsidRPr="00E116B6" w:rsidR="003E02C0">
        <w:rPr>
          <w:lang w:val="en-GB"/>
        </w:rPr>
        <w:t>The second applicant also pleaded innocent. His</w:t>
      </w:r>
      <w:r w:rsidRPr="00E116B6" w:rsidR="005F25D2">
        <w:rPr>
          <w:lang w:val="en-GB"/>
        </w:rPr>
        <w:t xml:space="preserve"> lawyer </w:t>
      </w:r>
      <w:r w:rsidRPr="00E116B6" w:rsidR="00BB7774">
        <w:rPr>
          <w:lang w:val="en-GB"/>
        </w:rPr>
        <w:t xml:space="preserve">applied to have </w:t>
      </w:r>
      <w:r w:rsidRPr="00E116B6" w:rsidR="005F25D2">
        <w:rPr>
          <w:lang w:val="en-GB"/>
        </w:rPr>
        <w:t>the record of the member of parliament</w:t>
      </w:r>
      <w:r w:rsidRPr="00E116B6" w:rsidR="00E116B6">
        <w:rPr>
          <w:lang w:val="en-GB"/>
        </w:rPr>
        <w:t>’</w:t>
      </w:r>
      <w:r w:rsidRPr="00E116B6" w:rsidR="005F25D2">
        <w:rPr>
          <w:lang w:val="en-GB"/>
        </w:rPr>
        <w:t>s identif</w:t>
      </w:r>
      <w:r w:rsidRPr="00E116B6" w:rsidR="003D402D">
        <w:rPr>
          <w:lang w:val="en-GB"/>
        </w:rPr>
        <w:t xml:space="preserve">ying </w:t>
      </w:r>
      <w:r w:rsidRPr="00E116B6" w:rsidR="005F25D2">
        <w:rPr>
          <w:lang w:val="en-GB"/>
        </w:rPr>
        <w:t xml:space="preserve">the first applicant </w:t>
      </w:r>
      <w:r w:rsidRPr="00E116B6" w:rsidR="006555F4">
        <w:rPr>
          <w:lang w:val="en-GB"/>
        </w:rPr>
        <w:t xml:space="preserve">on </w:t>
      </w:r>
      <w:r w:rsidRPr="00E116B6" w:rsidR="005F25D2">
        <w:rPr>
          <w:lang w:val="en-GB"/>
        </w:rPr>
        <w:t xml:space="preserve">13 May 2004 declared inadmissible as tainted by irregularities. </w:t>
      </w:r>
      <w:r w:rsidRPr="00E116B6" w:rsidR="003D402D">
        <w:rPr>
          <w:lang w:val="en-GB"/>
        </w:rPr>
        <w:t>In that connection</w:t>
      </w:r>
      <w:r w:rsidRPr="00E116B6" w:rsidR="007A34FB">
        <w:rPr>
          <w:lang w:val="en-GB"/>
        </w:rPr>
        <w:t>, h</w:t>
      </w:r>
      <w:r w:rsidRPr="00E116B6" w:rsidR="005F25D2">
        <w:rPr>
          <w:lang w:val="en-GB"/>
        </w:rPr>
        <w:t xml:space="preserve">e maintained that </w:t>
      </w:r>
      <w:r w:rsidRPr="00E116B6" w:rsidR="006555F4">
        <w:rPr>
          <w:lang w:val="en-GB"/>
        </w:rPr>
        <w:t xml:space="preserve">on </w:t>
      </w:r>
      <w:r w:rsidRPr="00E116B6" w:rsidR="005F25D2">
        <w:rPr>
          <w:lang w:val="en-GB"/>
        </w:rPr>
        <w:t xml:space="preserve">4 February 2004 the victim had </w:t>
      </w:r>
      <w:r w:rsidRPr="00E116B6" w:rsidR="003D402D">
        <w:rPr>
          <w:lang w:val="en-GB"/>
        </w:rPr>
        <w:t xml:space="preserve">said he was </w:t>
      </w:r>
      <w:r w:rsidRPr="00E116B6" w:rsidR="005F25D2">
        <w:rPr>
          <w:lang w:val="en-GB"/>
        </w:rPr>
        <w:t xml:space="preserve">unable to identify his attacker </w:t>
      </w:r>
      <w:r w:rsidRPr="00E116B6" w:rsidR="00BB7774">
        <w:rPr>
          <w:lang w:val="en-GB"/>
        </w:rPr>
        <w:t xml:space="preserve">while </w:t>
      </w:r>
      <w:r w:rsidRPr="00E116B6" w:rsidR="005F25D2">
        <w:rPr>
          <w:lang w:val="en-GB"/>
        </w:rPr>
        <w:t xml:space="preserve">the photofit image created with his help </w:t>
      </w:r>
      <w:r w:rsidRPr="00E116B6" w:rsidR="00BB7774">
        <w:rPr>
          <w:lang w:val="en-GB"/>
        </w:rPr>
        <w:t xml:space="preserve">had </w:t>
      </w:r>
      <w:r w:rsidRPr="00E116B6" w:rsidR="005F25D2">
        <w:rPr>
          <w:lang w:val="en-GB"/>
        </w:rPr>
        <w:t>not resemble</w:t>
      </w:r>
      <w:r w:rsidRPr="00E116B6" w:rsidR="00BB7774">
        <w:rPr>
          <w:lang w:val="en-GB"/>
        </w:rPr>
        <w:t>d</w:t>
      </w:r>
      <w:r w:rsidRPr="00E116B6" w:rsidR="005F25D2">
        <w:rPr>
          <w:lang w:val="en-GB"/>
        </w:rPr>
        <w:t xml:space="preserve"> the first applicant. Later, however, he had </w:t>
      </w:r>
      <w:r w:rsidRPr="00E116B6" w:rsidR="003D402D">
        <w:rPr>
          <w:lang w:val="en-GB"/>
        </w:rPr>
        <w:t xml:space="preserve">stated that he was </w:t>
      </w:r>
      <w:r w:rsidRPr="00E116B6" w:rsidR="005F25D2">
        <w:rPr>
          <w:lang w:val="en-GB"/>
        </w:rPr>
        <w:t xml:space="preserve">able to identify his attacker, and did so </w:t>
      </w:r>
      <w:r w:rsidRPr="00E116B6" w:rsidR="006555F4">
        <w:rPr>
          <w:lang w:val="en-GB"/>
        </w:rPr>
        <w:t xml:space="preserve">on </w:t>
      </w:r>
      <w:r w:rsidRPr="00E116B6" w:rsidR="005F25D2">
        <w:rPr>
          <w:lang w:val="en-GB"/>
        </w:rPr>
        <w:t xml:space="preserve">13 May 2004 </w:t>
      </w:r>
      <w:r w:rsidRPr="00E116B6" w:rsidR="006555F4">
        <w:rPr>
          <w:lang w:val="en-GB"/>
        </w:rPr>
        <w:t xml:space="preserve">on </w:t>
      </w:r>
      <w:r w:rsidRPr="00E116B6" w:rsidR="005F25D2">
        <w:rPr>
          <w:lang w:val="en-GB"/>
        </w:rPr>
        <w:t>the basis of the first applicant</w:t>
      </w:r>
      <w:r w:rsidRPr="00E116B6" w:rsidR="00E116B6">
        <w:rPr>
          <w:lang w:val="en-GB"/>
        </w:rPr>
        <w:t>’</w:t>
      </w:r>
      <w:r w:rsidRPr="00E116B6" w:rsidR="005F25D2">
        <w:rPr>
          <w:lang w:val="en-GB"/>
        </w:rPr>
        <w:t xml:space="preserve">s “general appearance”. In addition, the first applicant had been lined up in front of the victim with three other people who </w:t>
      </w:r>
      <w:r w:rsidRPr="00E116B6" w:rsidR="003D402D">
        <w:rPr>
          <w:lang w:val="en-GB"/>
        </w:rPr>
        <w:t xml:space="preserve">had </w:t>
      </w:r>
      <w:r w:rsidRPr="00E116B6" w:rsidR="005F25D2">
        <w:rPr>
          <w:lang w:val="en-GB"/>
        </w:rPr>
        <w:t xml:space="preserve">looked totally </w:t>
      </w:r>
      <w:r w:rsidRPr="00E116B6" w:rsidR="003D402D">
        <w:rPr>
          <w:lang w:val="en-GB"/>
        </w:rPr>
        <w:t xml:space="preserve">different from </w:t>
      </w:r>
      <w:r w:rsidRPr="00E116B6" w:rsidR="005F25D2">
        <w:rPr>
          <w:lang w:val="en-GB"/>
        </w:rPr>
        <w:t>him (see also paragraph</w:t>
      </w:r>
      <w:r w:rsidRPr="00E116B6" w:rsidR="002A6748">
        <w:rPr>
          <w:lang w:val="en-GB"/>
        </w:rPr>
        <w:t xml:space="preserve">s </w:t>
      </w:r>
      <w:r w:rsidRPr="00E116B6" w:rsidR="002A6748">
        <w:rPr>
          <w:lang w:val="en-GB"/>
        </w:rPr>
        <w:fldChar w:fldCharType="begin"/>
      </w:r>
      <w:r w:rsidRPr="00E116B6" w:rsidR="002A6748">
        <w:rPr>
          <w:lang w:val="en-GB"/>
        </w:rPr>
        <w:instrText xml:space="preserve"> REF identparade1 \h </w:instrText>
      </w:r>
      <w:r w:rsidRPr="00E116B6" w:rsidR="002A6748">
        <w:rPr>
          <w:lang w:val="en-GB"/>
        </w:rPr>
      </w:r>
      <w:r w:rsidRPr="00E116B6" w:rsidR="002A6748">
        <w:rPr>
          <w:lang w:val="en-GB"/>
        </w:rPr>
        <w:fldChar w:fldCharType="separate"/>
      </w:r>
      <w:r w:rsidRPr="00E116B6" w:rsidR="00E116B6">
        <w:rPr>
          <w:noProof/>
          <w:lang w:val="en-GB"/>
        </w:rPr>
        <w:t>64</w:t>
      </w:r>
      <w:r w:rsidRPr="00E116B6" w:rsidR="002A6748">
        <w:rPr>
          <w:lang w:val="en-GB"/>
        </w:rPr>
        <w:fldChar w:fldCharType="end"/>
      </w:r>
      <w:r w:rsidRPr="00E116B6" w:rsidR="002A6748">
        <w:rPr>
          <w:lang w:val="en-GB"/>
        </w:rPr>
        <w:t xml:space="preserve"> and </w:t>
      </w:r>
      <w:r w:rsidRPr="00E116B6" w:rsidR="002A6748">
        <w:rPr>
          <w:lang w:val="en-GB"/>
        </w:rPr>
        <w:fldChar w:fldCharType="begin"/>
      </w:r>
      <w:r w:rsidRPr="00E116B6" w:rsidR="002A6748">
        <w:rPr>
          <w:lang w:val="en-GB"/>
        </w:rPr>
        <w:instrText xml:space="preserve"> REF identparade2 \h </w:instrText>
      </w:r>
      <w:r w:rsidRPr="00E116B6" w:rsidR="002A6748">
        <w:rPr>
          <w:lang w:val="en-GB"/>
        </w:rPr>
      </w:r>
      <w:r w:rsidRPr="00E116B6" w:rsidR="002A6748">
        <w:rPr>
          <w:lang w:val="en-GB"/>
        </w:rPr>
        <w:fldChar w:fldCharType="separate"/>
      </w:r>
      <w:r w:rsidRPr="00E116B6" w:rsidR="00E116B6">
        <w:rPr>
          <w:noProof/>
          <w:lang w:val="en-GB"/>
        </w:rPr>
        <w:t>65</w:t>
      </w:r>
      <w:r w:rsidRPr="00E116B6" w:rsidR="002A6748">
        <w:rPr>
          <w:lang w:val="en-GB"/>
        </w:rPr>
        <w:fldChar w:fldCharType="end"/>
      </w:r>
      <w:r w:rsidRPr="00E116B6" w:rsidR="002A6748">
        <w:rPr>
          <w:lang w:val="en-GB"/>
        </w:rPr>
        <w:t xml:space="preserve"> </w:t>
      </w:r>
      <w:r w:rsidRPr="00E116B6" w:rsidR="005F25D2">
        <w:rPr>
          <w:lang w:val="en-GB"/>
        </w:rPr>
        <w:t>below).</w:t>
      </w:r>
      <w:r w:rsidRPr="00E116B6" w:rsidR="007A34FB">
        <w:rPr>
          <w:lang w:val="en-GB"/>
        </w:rPr>
        <w:t xml:space="preserve"> </w:t>
      </w:r>
      <w:r w:rsidRPr="00E116B6" w:rsidR="009C67FA">
        <w:rPr>
          <w:lang w:val="en-GB"/>
        </w:rPr>
        <w:t>The second applicant</w:t>
      </w:r>
      <w:r w:rsidRPr="00E116B6" w:rsidR="00E116B6">
        <w:rPr>
          <w:lang w:val="en-GB"/>
        </w:rPr>
        <w:t>’</w:t>
      </w:r>
      <w:r w:rsidRPr="00E116B6" w:rsidR="009C67FA">
        <w:rPr>
          <w:lang w:val="en-GB"/>
        </w:rPr>
        <w:t xml:space="preserve">s lawyer also </w:t>
      </w:r>
      <w:r w:rsidRPr="00E116B6" w:rsidR="00BB7774">
        <w:rPr>
          <w:lang w:val="en-GB"/>
        </w:rPr>
        <w:t xml:space="preserve">applied to have </w:t>
      </w:r>
      <w:r w:rsidRPr="00E116B6" w:rsidR="009C67FA">
        <w:rPr>
          <w:lang w:val="en-GB"/>
        </w:rPr>
        <w:t xml:space="preserve">the record of the </w:t>
      </w:r>
      <w:r w:rsidRPr="00E116B6" w:rsidR="003D402D">
        <w:rPr>
          <w:lang w:val="en-GB"/>
        </w:rPr>
        <w:t xml:space="preserve">formal </w:t>
      </w:r>
      <w:r w:rsidRPr="00E116B6" w:rsidR="009C67FA">
        <w:rPr>
          <w:lang w:val="en-GB"/>
        </w:rPr>
        <w:t>confrontati</w:t>
      </w:r>
      <w:r w:rsidRPr="00E116B6" w:rsidR="006555F4">
        <w:rPr>
          <w:lang w:val="en-GB"/>
        </w:rPr>
        <w:t xml:space="preserve">on </w:t>
      </w:r>
      <w:r w:rsidRPr="00E116B6" w:rsidR="009C67FA">
        <w:rPr>
          <w:lang w:val="en-GB"/>
        </w:rPr>
        <w:t>between the first and second applicants</w:t>
      </w:r>
      <w:r w:rsidRPr="00E116B6" w:rsidR="003E02C0">
        <w:rPr>
          <w:lang w:val="en-GB"/>
        </w:rPr>
        <w:t>, dated 14 May 2003,</w:t>
      </w:r>
      <w:r w:rsidRPr="00E116B6" w:rsidR="009C67FA">
        <w:rPr>
          <w:lang w:val="en-GB"/>
        </w:rPr>
        <w:t xml:space="preserve"> declared inadmissible as tainted by irregularities. </w:t>
      </w:r>
      <w:r w:rsidRPr="00E116B6" w:rsidR="007A34FB">
        <w:rPr>
          <w:lang w:val="en-GB"/>
        </w:rPr>
        <w:t>Notably, t</w:t>
      </w:r>
      <w:r w:rsidRPr="00E116B6" w:rsidR="009C67FA">
        <w:rPr>
          <w:lang w:val="en-GB"/>
        </w:rPr>
        <w:t xml:space="preserve">he report contained the name of a public </w:t>
      </w:r>
      <w:r w:rsidRPr="00E116B6" w:rsidR="00BB7774">
        <w:rPr>
          <w:lang w:val="en-GB"/>
        </w:rPr>
        <w:t xml:space="preserve">defence </w:t>
      </w:r>
      <w:r w:rsidRPr="00E116B6" w:rsidR="009C67FA">
        <w:rPr>
          <w:lang w:val="en-GB"/>
        </w:rPr>
        <w:t>lawyer who had supposedly assisted the second applicant at the time.</w:t>
      </w:r>
      <w:r w:rsidRPr="00E116B6" w:rsidR="003E02C0">
        <w:rPr>
          <w:lang w:val="en-GB"/>
        </w:rPr>
        <w:t xml:space="preserve"> However, in actual fact the second applicant had been alone during th</w:t>
      </w:r>
      <w:r w:rsidRPr="00E116B6" w:rsidR="003D402D">
        <w:rPr>
          <w:lang w:val="en-GB"/>
        </w:rPr>
        <w:t>e</w:t>
      </w:r>
      <w:r w:rsidRPr="00E116B6" w:rsidR="003E02C0">
        <w:rPr>
          <w:lang w:val="en-GB"/>
        </w:rPr>
        <w:t xml:space="preserve"> confrontation.</w:t>
      </w:r>
      <w:r w:rsidRPr="00E116B6" w:rsidR="009C67FA">
        <w:rPr>
          <w:lang w:val="en-GB"/>
        </w:rPr>
        <w:t xml:space="preserve"> </w:t>
      </w:r>
      <w:r w:rsidRPr="00E116B6" w:rsidR="007A34FB">
        <w:rPr>
          <w:lang w:val="en-GB"/>
        </w:rPr>
        <w:t>Indeed</w:t>
      </w:r>
      <w:r w:rsidRPr="00E116B6" w:rsidR="009C67FA">
        <w:rPr>
          <w:lang w:val="en-GB"/>
        </w:rPr>
        <w:t>, according to a letter from the Ministry of the Interior, between 13 and 17 May 2004 the</w:t>
      </w:r>
      <w:r w:rsidRPr="00E116B6" w:rsidR="007A34FB">
        <w:rPr>
          <w:lang w:val="en-GB"/>
        </w:rPr>
        <w:t xml:space="preserve"> public</w:t>
      </w:r>
      <w:r w:rsidRPr="00E116B6" w:rsidR="009C67FA">
        <w:rPr>
          <w:lang w:val="en-GB"/>
        </w:rPr>
        <w:t xml:space="preserve"> </w:t>
      </w:r>
      <w:r w:rsidRPr="00E116B6" w:rsidR="00BB7774">
        <w:rPr>
          <w:lang w:val="en-GB"/>
        </w:rPr>
        <w:t xml:space="preserve">defence </w:t>
      </w:r>
      <w:r w:rsidRPr="00E116B6" w:rsidR="009C67FA">
        <w:rPr>
          <w:lang w:val="en-GB"/>
        </w:rPr>
        <w:t xml:space="preserve">lawyer officially assigned to the second applicant </w:t>
      </w:r>
      <w:r w:rsidRPr="00E116B6" w:rsidR="006555F4">
        <w:rPr>
          <w:lang w:val="en-GB"/>
        </w:rPr>
        <w:t xml:space="preserve">on </w:t>
      </w:r>
      <w:r w:rsidRPr="00E116B6" w:rsidR="009C67FA">
        <w:rPr>
          <w:lang w:val="en-GB"/>
        </w:rPr>
        <w:t>14</w:t>
      </w:r>
      <w:r w:rsidRPr="00E116B6" w:rsidR="005B621F">
        <w:rPr>
          <w:lang w:val="en-GB"/>
        </w:rPr>
        <w:t> </w:t>
      </w:r>
      <w:r w:rsidRPr="00E116B6" w:rsidR="009C67FA">
        <w:rPr>
          <w:lang w:val="en-GB"/>
        </w:rPr>
        <w:t xml:space="preserve">May 2004 </w:t>
      </w:r>
      <w:r w:rsidRPr="00E116B6" w:rsidR="003D402D">
        <w:rPr>
          <w:lang w:val="en-GB"/>
        </w:rPr>
        <w:t xml:space="preserve">had </w:t>
      </w:r>
      <w:r w:rsidRPr="00E116B6" w:rsidR="009C67FA">
        <w:rPr>
          <w:lang w:val="en-GB"/>
        </w:rPr>
        <w:t>not possess</w:t>
      </w:r>
      <w:r w:rsidRPr="00E116B6" w:rsidR="003D402D">
        <w:rPr>
          <w:lang w:val="en-GB"/>
        </w:rPr>
        <w:t>ed</w:t>
      </w:r>
      <w:r w:rsidRPr="00E116B6" w:rsidR="009C67FA">
        <w:rPr>
          <w:lang w:val="en-GB"/>
        </w:rPr>
        <w:t xml:space="preserve"> a badge allowing him </w:t>
      </w:r>
      <w:r w:rsidRPr="00E116B6" w:rsidR="003D402D">
        <w:rPr>
          <w:lang w:val="en-GB"/>
        </w:rPr>
        <w:t xml:space="preserve">to </w:t>
      </w:r>
      <w:r w:rsidRPr="00E116B6" w:rsidR="009C67FA">
        <w:rPr>
          <w:lang w:val="en-GB"/>
        </w:rPr>
        <w:t>ent</w:t>
      </w:r>
      <w:r w:rsidRPr="00E116B6" w:rsidR="003D402D">
        <w:rPr>
          <w:lang w:val="en-GB"/>
        </w:rPr>
        <w:t>e</w:t>
      </w:r>
      <w:r w:rsidRPr="00E116B6" w:rsidR="009C67FA">
        <w:rPr>
          <w:lang w:val="en-GB"/>
        </w:rPr>
        <w:t>r</w:t>
      </w:r>
      <w:r w:rsidRPr="00E116B6" w:rsidR="003D402D">
        <w:rPr>
          <w:lang w:val="en-GB"/>
        </w:rPr>
        <w:t xml:space="preserve"> </w:t>
      </w:r>
      <w:r w:rsidRPr="00E116B6" w:rsidR="009C67FA">
        <w:rPr>
          <w:lang w:val="en-GB"/>
        </w:rPr>
        <w:t>the main police stati</w:t>
      </w:r>
      <w:r w:rsidRPr="00E116B6" w:rsidR="006555F4">
        <w:rPr>
          <w:lang w:val="en-GB"/>
        </w:rPr>
        <w:t xml:space="preserve">on </w:t>
      </w:r>
      <w:r w:rsidRPr="00E116B6" w:rsidR="009C67FA">
        <w:rPr>
          <w:lang w:val="en-GB"/>
        </w:rPr>
        <w:t xml:space="preserve">in Tbilisi. </w:t>
      </w:r>
      <w:r w:rsidRPr="00E116B6" w:rsidR="007A34FB">
        <w:rPr>
          <w:lang w:val="en-GB"/>
        </w:rPr>
        <w:t xml:space="preserve">Both </w:t>
      </w:r>
      <w:r w:rsidRPr="00E116B6" w:rsidR="00BB7774">
        <w:rPr>
          <w:lang w:val="en-GB"/>
        </w:rPr>
        <w:t xml:space="preserve">applications </w:t>
      </w:r>
      <w:r w:rsidRPr="00E116B6" w:rsidR="007A34FB">
        <w:rPr>
          <w:lang w:val="en-GB"/>
        </w:rPr>
        <w:t xml:space="preserve">were rejected by the trial court </w:t>
      </w:r>
      <w:r w:rsidRPr="00E116B6" w:rsidR="006555F4">
        <w:rPr>
          <w:lang w:val="en-GB"/>
        </w:rPr>
        <w:t xml:space="preserve">on </w:t>
      </w:r>
      <w:r w:rsidRPr="00E116B6" w:rsidR="007A34FB">
        <w:rPr>
          <w:lang w:val="en-GB"/>
        </w:rPr>
        <w:t>the same day as ill-founded.</w:t>
      </w:r>
    </w:p>
    <w:p w:rsidRPr="00E116B6" w:rsidR="003E02C0" w:rsidP="00E116B6" w:rsidRDefault="004C4CF3">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61</w:t>
      </w:r>
      <w:r w:rsidRPr="00E116B6">
        <w:rPr>
          <w:lang w:val="en-GB"/>
        </w:rPr>
        <w:fldChar w:fldCharType="end"/>
      </w:r>
      <w:r w:rsidRPr="00E116B6" w:rsidR="003E02C0">
        <w:rPr>
          <w:lang w:val="en-GB"/>
        </w:rPr>
        <w:t>.  </w:t>
      </w:r>
      <w:r w:rsidRPr="00E116B6" w:rsidR="0058134C">
        <w:rPr>
          <w:lang w:val="en-GB"/>
        </w:rPr>
        <w:t>When questioned by the trial court, the woman and s</w:t>
      </w:r>
      <w:r w:rsidRPr="00E116B6" w:rsidR="006555F4">
        <w:rPr>
          <w:lang w:val="en-GB"/>
        </w:rPr>
        <w:t xml:space="preserve">on </w:t>
      </w:r>
      <w:r w:rsidRPr="00E116B6" w:rsidR="0058134C">
        <w:rPr>
          <w:lang w:val="en-GB"/>
        </w:rPr>
        <w:t xml:space="preserve">who had </w:t>
      </w:r>
      <w:r w:rsidRPr="00E116B6" w:rsidR="003D402D">
        <w:rPr>
          <w:lang w:val="en-GB"/>
        </w:rPr>
        <w:t xml:space="preserve">allegedly handed in </w:t>
      </w:r>
      <w:r w:rsidRPr="00E116B6" w:rsidR="0058134C">
        <w:rPr>
          <w:lang w:val="en-GB"/>
        </w:rPr>
        <w:t>the weap</w:t>
      </w:r>
      <w:r w:rsidRPr="00E116B6" w:rsidR="006555F4">
        <w:rPr>
          <w:lang w:val="en-GB"/>
        </w:rPr>
        <w:t xml:space="preserve">on </w:t>
      </w:r>
      <w:r w:rsidRPr="00E116B6" w:rsidR="00A86575">
        <w:rPr>
          <w:lang w:val="en-GB"/>
        </w:rPr>
        <w:t xml:space="preserve">used to commit </w:t>
      </w:r>
      <w:r w:rsidRPr="00E116B6" w:rsidR="0058134C">
        <w:rPr>
          <w:lang w:val="en-GB"/>
        </w:rPr>
        <w:t xml:space="preserve">the crime to the police </w:t>
      </w:r>
      <w:r w:rsidRPr="00E116B6" w:rsidR="006555F4">
        <w:rPr>
          <w:lang w:val="en-GB"/>
        </w:rPr>
        <w:t xml:space="preserve">on </w:t>
      </w:r>
      <w:r w:rsidRPr="00E116B6" w:rsidR="0058134C">
        <w:rPr>
          <w:lang w:val="en-GB"/>
        </w:rPr>
        <w:t>25 February 2004</w:t>
      </w:r>
      <w:r w:rsidRPr="00E116B6" w:rsidR="00A86575">
        <w:rPr>
          <w:lang w:val="en-GB"/>
        </w:rPr>
        <w:t>,</w:t>
      </w:r>
      <w:r w:rsidRPr="00E116B6" w:rsidR="0058134C">
        <w:rPr>
          <w:lang w:val="en-GB"/>
        </w:rPr>
        <w:t xml:space="preserve"> according to the official versi</w:t>
      </w:r>
      <w:r w:rsidRPr="00E116B6" w:rsidR="006555F4">
        <w:rPr>
          <w:lang w:val="en-GB"/>
        </w:rPr>
        <w:t xml:space="preserve">on </w:t>
      </w:r>
      <w:r w:rsidRPr="00E116B6" w:rsidR="00A86575">
        <w:rPr>
          <w:lang w:val="en-GB"/>
        </w:rPr>
        <w:t xml:space="preserve">of events </w:t>
      </w:r>
      <w:r w:rsidRPr="00E116B6" w:rsidR="0058134C">
        <w:rPr>
          <w:lang w:val="en-GB"/>
        </w:rPr>
        <w:t>contained in the case file (see paragraph</w:t>
      </w:r>
      <w:r w:rsidRPr="00E116B6" w:rsidR="002A6748">
        <w:rPr>
          <w:lang w:val="en-GB"/>
        </w:rPr>
        <w:t xml:space="preserve"> </w:t>
      </w:r>
      <w:r w:rsidRPr="00E116B6" w:rsidR="002A6748">
        <w:rPr>
          <w:lang w:val="en-GB"/>
        </w:rPr>
        <w:fldChar w:fldCharType="begin"/>
      </w:r>
      <w:r w:rsidRPr="00E116B6" w:rsidR="002A6748">
        <w:rPr>
          <w:lang w:val="en-GB"/>
        </w:rPr>
        <w:instrText xml:space="preserve"> REF psm \h </w:instrText>
      </w:r>
      <w:r w:rsidRPr="00E116B6" w:rsidR="002A6748">
        <w:rPr>
          <w:lang w:val="en-GB"/>
        </w:rPr>
      </w:r>
      <w:r w:rsidRPr="00E116B6" w:rsidR="002A6748">
        <w:rPr>
          <w:lang w:val="en-GB"/>
        </w:rPr>
        <w:fldChar w:fldCharType="separate"/>
      </w:r>
      <w:r w:rsidRPr="00E116B6" w:rsidR="00E116B6">
        <w:rPr>
          <w:noProof/>
          <w:lang w:val="en-GB"/>
        </w:rPr>
        <w:t>8</w:t>
      </w:r>
      <w:r w:rsidRPr="00E116B6" w:rsidR="002A6748">
        <w:rPr>
          <w:lang w:val="en-GB"/>
        </w:rPr>
        <w:fldChar w:fldCharType="end"/>
      </w:r>
      <w:r w:rsidRPr="00E116B6" w:rsidR="002A6748">
        <w:rPr>
          <w:lang w:val="en-GB"/>
        </w:rPr>
        <w:t xml:space="preserve"> </w:t>
      </w:r>
      <w:r w:rsidRPr="00E116B6" w:rsidR="0058134C">
        <w:rPr>
          <w:lang w:val="en-GB"/>
        </w:rPr>
        <w:t xml:space="preserve">above), stated that </w:t>
      </w:r>
      <w:r w:rsidRPr="00E116B6" w:rsidR="00AB352F">
        <w:rPr>
          <w:lang w:val="en-GB"/>
        </w:rPr>
        <w:t xml:space="preserve">they </w:t>
      </w:r>
      <w:r w:rsidRPr="00E116B6" w:rsidR="0058134C">
        <w:rPr>
          <w:lang w:val="en-GB"/>
        </w:rPr>
        <w:t xml:space="preserve">had never </w:t>
      </w:r>
      <w:r w:rsidRPr="00E116B6" w:rsidR="00A86575">
        <w:rPr>
          <w:lang w:val="en-GB"/>
        </w:rPr>
        <w:t xml:space="preserve">handed </w:t>
      </w:r>
      <w:r w:rsidRPr="00E116B6" w:rsidR="00C3169E">
        <w:rPr>
          <w:lang w:val="en-GB"/>
        </w:rPr>
        <w:t xml:space="preserve">in such a </w:t>
      </w:r>
      <w:r w:rsidRPr="00E116B6" w:rsidR="0058134C">
        <w:rPr>
          <w:lang w:val="en-GB"/>
        </w:rPr>
        <w:t>gun to the police</w:t>
      </w:r>
      <w:r w:rsidRPr="00E116B6" w:rsidR="00C3169E">
        <w:rPr>
          <w:lang w:val="en-GB"/>
        </w:rPr>
        <w:t>. O</w:t>
      </w:r>
      <w:r w:rsidRPr="00E116B6" w:rsidR="0058134C">
        <w:rPr>
          <w:lang w:val="en-GB"/>
        </w:rPr>
        <w:t xml:space="preserve">n the contrary, it </w:t>
      </w:r>
      <w:r w:rsidRPr="00E116B6" w:rsidR="00A86575">
        <w:rPr>
          <w:lang w:val="en-GB"/>
        </w:rPr>
        <w:t xml:space="preserve">had been </w:t>
      </w:r>
      <w:r w:rsidRPr="00E116B6" w:rsidR="0058134C">
        <w:rPr>
          <w:lang w:val="en-GB"/>
        </w:rPr>
        <w:t>the police who had suddenly c</w:t>
      </w:r>
      <w:r w:rsidRPr="00E116B6" w:rsidR="00A86575">
        <w:rPr>
          <w:lang w:val="en-GB"/>
        </w:rPr>
        <w:t>o</w:t>
      </w:r>
      <w:r w:rsidRPr="00E116B6" w:rsidR="0058134C">
        <w:rPr>
          <w:lang w:val="en-GB"/>
        </w:rPr>
        <w:t xml:space="preserve">me </w:t>
      </w:r>
      <w:r w:rsidRPr="00E116B6" w:rsidR="00A86575">
        <w:rPr>
          <w:lang w:val="en-GB"/>
        </w:rPr>
        <w:t xml:space="preserve">to </w:t>
      </w:r>
      <w:r w:rsidRPr="00E116B6" w:rsidR="0058134C">
        <w:rPr>
          <w:lang w:val="en-GB"/>
        </w:rPr>
        <w:t xml:space="preserve">her house, </w:t>
      </w:r>
      <w:r w:rsidRPr="00E116B6" w:rsidR="00A86575">
        <w:rPr>
          <w:lang w:val="en-GB"/>
        </w:rPr>
        <w:t xml:space="preserve">and had </w:t>
      </w:r>
      <w:r w:rsidRPr="00E116B6" w:rsidR="0058134C">
        <w:rPr>
          <w:lang w:val="en-GB"/>
        </w:rPr>
        <w:t xml:space="preserve">searched </w:t>
      </w:r>
      <w:r w:rsidRPr="00E116B6" w:rsidR="00A86575">
        <w:rPr>
          <w:lang w:val="en-GB"/>
        </w:rPr>
        <w:t xml:space="preserve">for </w:t>
      </w:r>
      <w:r w:rsidRPr="00E116B6" w:rsidR="0058134C">
        <w:rPr>
          <w:lang w:val="en-GB"/>
        </w:rPr>
        <w:t>an</w:t>
      </w:r>
      <w:r w:rsidRPr="00E116B6" w:rsidR="007B04C9">
        <w:rPr>
          <w:lang w:val="en-GB"/>
        </w:rPr>
        <w:t>d found the PSM pistol in the y</w:t>
      </w:r>
      <w:r w:rsidRPr="00E116B6" w:rsidR="0058134C">
        <w:rPr>
          <w:lang w:val="en-GB"/>
        </w:rPr>
        <w:t xml:space="preserve">ard. She added that the gun </w:t>
      </w:r>
      <w:r w:rsidRPr="00E116B6" w:rsidR="00A86575">
        <w:rPr>
          <w:lang w:val="en-GB"/>
        </w:rPr>
        <w:t xml:space="preserve">that the police had </w:t>
      </w:r>
      <w:r w:rsidRPr="00E116B6" w:rsidR="007B04C9">
        <w:rPr>
          <w:lang w:val="en-GB"/>
        </w:rPr>
        <w:t xml:space="preserve">found </w:t>
      </w:r>
      <w:r w:rsidRPr="00E116B6" w:rsidR="0058134C">
        <w:rPr>
          <w:lang w:val="en-GB"/>
        </w:rPr>
        <w:t>had not been equipped with a silencer.</w:t>
      </w:r>
    </w:p>
    <w:bookmarkStart w:name="motive1" w:id="33"/>
    <w:p w:rsidRPr="00E116B6" w:rsidR="00AC1180" w:rsidP="00E116B6" w:rsidRDefault="004C4CF3">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62</w:t>
      </w:r>
      <w:r w:rsidRPr="00E116B6">
        <w:rPr>
          <w:lang w:val="en-GB"/>
        </w:rPr>
        <w:fldChar w:fldCharType="end"/>
      </w:r>
      <w:bookmarkEnd w:id="33"/>
      <w:r w:rsidRPr="00E116B6" w:rsidR="007B04C9">
        <w:rPr>
          <w:lang w:val="en-GB"/>
        </w:rPr>
        <w:t>.  </w:t>
      </w:r>
      <w:r w:rsidRPr="00E116B6" w:rsidR="009C49FA">
        <w:rPr>
          <w:lang w:val="en-GB"/>
        </w:rPr>
        <w:t>Among other statements concerning a possible motive for the attack allegedly perpetrated by the applicants, the member of parliament told the court that as one of the founders of the bank and one of its largest shareholders, he had recommended the second applicant</w:t>
      </w:r>
      <w:r w:rsidRPr="00E116B6" w:rsidR="00E116B6">
        <w:rPr>
          <w:lang w:val="en-GB"/>
        </w:rPr>
        <w:t>’</w:t>
      </w:r>
      <w:r w:rsidRPr="00E116B6" w:rsidR="009C49FA">
        <w:rPr>
          <w:lang w:val="en-GB"/>
        </w:rPr>
        <w:t>s brother for the post of manager of the bank</w:t>
      </w:r>
      <w:r w:rsidRPr="00E116B6" w:rsidR="00E116B6">
        <w:rPr>
          <w:lang w:val="en-GB"/>
        </w:rPr>
        <w:t>’</w:t>
      </w:r>
      <w:r w:rsidRPr="00E116B6" w:rsidR="009C49FA">
        <w:rPr>
          <w:lang w:val="en-GB"/>
        </w:rPr>
        <w:t xml:space="preserve">s Batumi branch </w:t>
      </w:r>
      <w:r w:rsidRPr="00E116B6" w:rsidR="000A5083">
        <w:rPr>
          <w:szCs w:val="24"/>
          <w:lang w:val="en-GB"/>
        </w:rPr>
        <w:t xml:space="preserve">(see also paragraph </w:t>
      </w:r>
      <w:r w:rsidRPr="00E116B6" w:rsidR="000A5083">
        <w:rPr>
          <w:szCs w:val="24"/>
          <w:lang w:val="en-GB"/>
        </w:rPr>
        <w:fldChar w:fldCharType="begin"/>
      </w:r>
      <w:r w:rsidRPr="00E116B6" w:rsidR="000A5083">
        <w:rPr>
          <w:szCs w:val="24"/>
          <w:lang w:val="en-GB"/>
        </w:rPr>
        <w:instrText xml:space="preserve"> REF motive \h </w:instrText>
      </w:r>
      <w:r w:rsidRPr="00E116B6" w:rsidR="000A5083">
        <w:rPr>
          <w:szCs w:val="24"/>
          <w:lang w:val="en-GB"/>
        </w:rPr>
      </w:r>
      <w:r w:rsidRPr="00E116B6" w:rsidR="000A5083">
        <w:rPr>
          <w:szCs w:val="24"/>
          <w:lang w:val="en-GB"/>
        </w:rPr>
        <w:fldChar w:fldCharType="separate"/>
      </w:r>
      <w:r w:rsidRPr="00E116B6" w:rsidR="00E116B6">
        <w:rPr>
          <w:noProof/>
          <w:lang w:val="en-GB"/>
        </w:rPr>
        <w:t>15</w:t>
      </w:r>
      <w:r w:rsidRPr="00E116B6" w:rsidR="000A5083">
        <w:rPr>
          <w:szCs w:val="24"/>
          <w:lang w:val="en-GB"/>
        </w:rPr>
        <w:fldChar w:fldCharType="end"/>
      </w:r>
      <w:r w:rsidRPr="00E116B6" w:rsidR="000A5083">
        <w:rPr>
          <w:szCs w:val="24"/>
          <w:lang w:val="en-GB"/>
        </w:rPr>
        <w:t xml:space="preserve"> above). </w:t>
      </w:r>
      <w:r w:rsidRPr="00E116B6" w:rsidR="009C49FA">
        <w:rPr>
          <w:szCs w:val="24"/>
          <w:lang w:val="en-GB"/>
        </w:rPr>
        <w:t>However, the two brothers had abused his trust. They had taken certain items of gold belonging to clients and a large sum of money and had disappeared in October 2003. Three days later, as a result of efforts made by the family, the brothers</w:t>
      </w:r>
      <w:r w:rsidRPr="00E116B6" w:rsidR="00E116B6">
        <w:rPr>
          <w:szCs w:val="24"/>
          <w:lang w:val="en-GB"/>
        </w:rPr>
        <w:t>’</w:t>
      </w:r>
      <w:r w:rsidRPr="00E116B6" w:rsidR="009C49FA">
        <w:rPr>
          <w:szCs w:val="24"/>
          <w:lang w:val="en-GB"/>
        </w:rPr>
        <w:t xml:space="preserve"> uncle had returned the objects and the money to the bank. Some months earlier, an internal audit of the branch in questi</w:t>
      </w:r>
      <w:r w:rsidRPr="00E116B6" w:rsidR="006555F4">
        <w:rPr>
          <w:szCs w:val="24"/>
          <w:lang w:val="en-GB"/>
        </w:rPr>
        <w:t xml:space="preserve">on </w:t>
      </w:r>
      <w:r w:rsidRPr="00E116B6" w:rsidR="009C49FA">
        <w:rPr>
          <w:szCs w:val="24"/>
          <w:lang w:val="en-GB"/>
        </w:rPr>
        <w:t xml:space="preserve">had uncovered considerable losses there. The second applicant and his brother had put pressure </w:t>
      </w:r>
      <w:r w:rsidRPr="00E116B6" w:rsidR="006555F4">
        <w:rPr>
          <w:szCs w:val="24"/>
          <w:lang w:val="en-GB"/>
        </w:rPr>
        <w:t xml:space="preserve">on </w:t>
      </w:r>
      <w:r w:rsidRPr="00E116B6" w:rsidR="009C49FA">
        <w:rPr>
          <w:szCs w:val="24"/>
          <w:lang w:val="en-GB"/>
        </w:rPr>
        <w:t xml:space="preserve">the members of the audit committee to not inform headquarters in Tbilisi. Following internal discussions in which the member of parliament had been involved in person, it had been agreed that the two brothers would by 25 January 2004 at the latest repay the USD 750,000 they had embezzled by various means. The member of parliament also told the trial court that he had easily identified the first applicant </w:t>
      </w:r>
      <w:r w:rsidRPr="00E116B6" w:rsidR="006555F4">
        <w:rPr>
          <w:szCs w:val="24"/>
          <w:lang w:val="en-GB"/>
        </w:rPr>
        <w:t xml:space="preserve">on </w:t>
      </w:r>
      <w:r w:rsidRPr="00E116B6" w:rsidR="009C49FA">
        <w:rPr>
          <w:szCs w:val="24"/>
          <w:lang w:val="en-GB"/>
        </w:rPr>
        <w:t>13 May 2004. He confirmed that he had approached the applicant after the identificati</w:t>
      </w:r>
      <w:r w:rsidRPr="00E116B6" w:rsidR="006555F4">
        <w:rPr>
          <w:szCs w:val="24"/>
          <w:lang w:val="en-GB"/>
        </w:rPr>
        <w:t xml:space="preserve">on </w:t>
      </w:r>
      <w:r w:rsidRPr="00E116B6" w:rsidR="009C49FA">
        <w:rPr>
          <w:szCs w:val="24"/>
          <w:lang w:val="en-GB"/>
        </w:rPr>
        <w:t>parade, with the investigator</w:t>
      </w:r>
      <w:r w:rsidRPr="00E116B6" w:rsidR="00E116B6">
        <w:rPr>
          <w:szCs w:val="24"/>
          <w:lang w:val="en-GB"/>
        </w:rPr>
        <w:t>’</w:t>
      </w:r>
      <w:r w:rsidRPr="00E116B6" w:rsidR="009C49FA">
        <w:rPr>
          <w:szCs w:val="24"/>
          <w:lang w:val="en-GB"/>
        </w:rPr>
        <w:t xml:space="preserve">s consent, and had asked him why he had tried to kill him. During their private talk the first applicant had allegedly replied that he had not wanted to kill him but had been acting </w:t>
      </w:r>
      <w:r w:rsidRPr="00E116B6" w:rsidR="006555F4">
        <w:rPr>
          <w:szCs w:val="24"/>
          <w:lang w:val="en-GB"/>
        </w:rPr>
        <w:t xml:space="preserve">on </w:t>
      </w:r>
      <w:r w:rsidRPr="00E116B6" w:rsidR="009C49FA">
        <w:rPr>
          <w:szCs w:val="24"/>
          <w:lang w:val="en-GB"/>
        </w:rPr>
        <w:t>the second applicant</w:t>
      </w:r>
      <w:r w:rsidRPr="00E116B6" w:rsidR="00E116B6">
        <w:rPr>
          <w:szCs w:val="24"/>
          <w:lang w:val="en-GB"/>
        </w:rPr>
        <w:t>’</w:t>
      </w:r>
      <w:r w:rsidRPr="00E116B6" w:rsidR="009C49FA">
        <w:rPr>
          <w:szCs w:val="24"/>
          <w:lang w:val="en-GB"/>
        </w:rPr>
        <w:t>s orders</w:t>
      </w:r>
      <w:r w:rsidRPr="00E116B6" w:rsidR="00A86575">
        <w:rPr>
          <w:lang w:val="en-GB"/>
        </w:rPr>
        <w:t xml:space="preserve"> </w:t>
      </w:r>
      <w:r w:rsidRPr="00E116B6" w:rsidR="0067636A">
        <w:rPr>
          <w:lang w:val="en-GB"/>
        </w:rPr>
        <w:t>(see paragraph</w:t>
      </w:r>
      <w:r w:rsidRPr="00E116B6" w:rsidR="005B621F">
        <w:rPr>
          <w:lang w:val="en-GB"/>
        </w:rPr>
        <w:t xml:space="preserve"> </w:t>
      </w:r>
      <w:r w:rsidRPr="00E116B6" w:rsidR="005B621F">
        <w:rPr>
          <w:lang w:val="en-GB"/>
        </w:rPr>
        <w:fldChar w:fldCharType="begin"/>
      </w:r>
      <w:r w:rsidRPr="00E116B6" w:rsidR="005B621F">
        <w:rPr>
          <w:lang w:val="en-GB"/>
        </w:rPr>
        <w:instrText xml:space="preserve"> REF privatetalk \h </w:instrText>
      </w:r>
      <w:r w:rsidRPr="00E116B6" w:rsidR="005B621F">
        <w:rPr>
          <w:lang w:val="en-GB"/>
        </w:rPr>
      </w:r>
      <w:r w:rsidRPr="00E116B6" w:rsidR="005B621F">
        <w:rPr>
          <w:lang w:val="en-GB"/>
        </w:rPr>
        <w:fldChar w:fldCharType="separate"/>
      </w:r>
      <w:r w:rsidRPr="00E116B6" w:rsidR="00E116B6">
        <w:rPr>
          <w:noProof/>
          <w:lang w:val="en-GB"/>
        </w:rPr>
        <w:t>13</w:t>
      </w:r>
      <w:r w:rsidRPr="00E116B6" w:rsidR="005B621F">
        <w:rPr>
          <w:lang w:val="en-GB"/>
        </w:rPr>
        <w:fldChar w:fldCharType="end"/>
      </w:r>
      <w:r w:rsidRPr="00E116B6" w:rsidR="002A6748">
        <w:rPr>
          <w:lang w:val="en-GB"/>
        </w:rPr>
        <w:t xml:space="preserve"> </w:t>
      </w:r>
      <w:r w:rsidRPr="00E116B6" w:rsidR="0067636A">
        <w:rPr>
          <w:lang w:val="en-GB"/>
        </w:rPr>
        <w:t>above)</w:t>
      </w:r>
      <w:r w:rsidRPr="00E116B6" w:rsidR="007B04C9">
        <w:rPr>
          <w:lang w:val="en-GB"/>
        </w:rPr>
        <w:t>.</w:t>
      </w:r>
    </w:p>
    <w:p w:rsidRPr="00E116B6" w:rsidR="007D72A0" w:rsidP="00E116B6" w:rsidRDefault="004C4CF3">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63</w:t>
      </w:r>
      <w:r w:rsidRPr="00E116B6">
        <w:rPr>
          <w:lang w:val="en-GB"/>
        </w:rPr>
        <w:fldChar w:fldCharType="end"/>
      </w:r>
      <w:r w:rsidRPr="00E116B6" w:rsidR="007B04C9">
        <w:rPr>
          <w:lang w:val="en-GB"/>
        </w:rPr>
        <w:t>.  </w:t>
      </w:r>
      <w:r w:rsidRPr="00E116B6" w:rsidR="008D0DD8">
        <w:rPr>
          <w:lang w:val="en-GB"/>
        </w:rPr>
        <w:t>When questioned by the trial court, t</w:t>
      </w:r>
      <w:r w:rsidRPr="00E116B6" w:rsidR="00F37F04">
        <w:rPr>
          <w:lang w:val="en-GB"/>
        </w:rPr>
        <w:t xml:space="preserve">he two witnesses to the </w:t>
      </w:r>
      <w:r w:rsidRPr="00E116B6" w:rsidR="0067636A">
        <w:rPr>
          <w:lang w:val="en-GB"/>
        </w:rPr>
        <w:t>reconstructi</w:t>
      </w:r>
      <w:r w:rsidRPr="00E116B6" w:rsidR="006555F4">
        <w:rPr>
          <w:lang w:val="en-GB"/>
        </w:rPr>
        <w:t xml:space="preserve">on </w:t>
      </w:r>
      <w:r w:rsidRPr="00E116B6" w:rsidR="0067636A">
        <w:rPr>
          <w:lang w:val="en-GB"/>
        </w:rPr>
        <w:t xml:space="preserve">of the crime </w:t>
      </w:r>
      <w:r w:rsidRPr="00E116B6" w:rsidR="006555F4">
        <w:rPr>
          <w:lang w:val="en-GB"/>
        </w:rPr>
        <w:t xml:space="preserve">on </w:t>
      </w:r>
      <w:r w:rsidRPr="00E116B6" w:rsidR="00F37F04">
        <w:rPr>
          <w:lang w:val="en-GB"/>
        </w:rPr>
        <w:t>13 May 2004 stated that they had been stopped by police officers in the vicinity of the main police station. The officers had asked them to go with them to assist in an investigative procedure and added that they would be arrested</w:t>
      </w:r>
      <w:r w:rsidRPr="00E116B6" w:rsidR="00A86575">
        <w:rPr>
          <w:lang w:val="en-GB"/>
        </w:rPr>
        <w:t xml:space="preserve"> if they refused</w:t>
      </w:r>
      <w:r w:rsidRPr="00E116B6" w:rsidR="00F37F04">
        <w:rPr>
          <w:lang w:val="en-GB"/>
        </w:rPr>
        <w:t xml:space="preserve">. At the station, the witnesses had seen the first applicant who, despite it </w:t>
      </w:r>
      <w:r w:rsidRPr="00E116B6" w:rsidR="00A86575">
        <w:rPr>
          <w:lang w:val="en-GB"/>
        </w:rPr>
        <w:t xml:space="preserve">being </w:t>
      </w:r>
      <w:r w:rsidRPr="00E116B6" w:rsidR="00607FDA">
        <w:rPr>
          <w:lang w:val="en-GB"/>
        </w:rPr>
        <w:t>a warm day in</w:t>
      </w:r>
      <w:r w:rsidRPr="00E116B6" w:rsidR="00F37F04">
        <w:rPr>
          <w:lang w:val="en-GB"/>
        </w:rPr>
        <w:t xml:space="preserve"> May, had been wearing a woo</w:t>
      </w:r>
      <w:r w:rsidRPr="00E116B6" w:rsidR="00A8125B">
        <w:rPr>
          <w:lang w:val="en-GB"/>
        </w:rPr>
        <w:t>l</w:t>
      </w:r>
      <w:r w:rsidRPr="00E116B6" w:rsidR="00F37F04">
        <w:rPr>
          <w:lang w:val="en-GB"/>
        </w:rPr>
        <w:t>len hat</w:t>
      </w:r>
      <w:r w:rsidRPr="00E116B6" w:rsidR="00C3169E">
        <w:rPr>
          <w:lang w:val="en-GB"/>
        </w:rPr>
        <w:t>. He had also</w:t>
      </w:r>
      <w:r w:rsidRPr="00E116B6" w:rsidR="00F37F04">
        <w:rPr>
          <w:lang w:val="en-GB"/>
        </w:rPr>
        <w:t xml:space="preserve"> had a </w:t>
      </w:r>
      <w:r w:rsidRPr="00E116B6" w:rsidR="008D0DD8">
        <w:rPr>
          <w:lang w:val="en-GB"/>
        </w:rPr>
        <w:t xml:space="preserve">deep </w:t>
      </w:r>
      <w:r w:rsidRPr="00E116B6" w:rsidR="00F37F04">
        <w:rPr>
          <w:lang w:val="en-GB"/>
        </w:rPr>
        <w:t>bruise around one of his eyes. The investigator had asked the first applicant one or two questions</w:t>
      </w:r>
      <w:r w:rsidRPr="00E116B6" w:rsidR="00A86575">
        <w:rPr>
          <w:lang w:val="en-GB"/>
        </w:rPr>
        <w:t xml:space="preserve"> but he </w:t>
      </w:r>
      <w:r w:rsidRPr="00E116B6" w:rsidR="00F37F04">
        <w:rPr>
          <w:lang w:val="en-GB"/>
        </w:rPr>
        <w:t xml:space="preserve">had remained silent for much of the time. When asked by the investigator </w:t>
      </w:r>
      <w:r w:rsidRPr="00E116B6" w:rsidR="00A86575">
        <w:rPr>
          <w:lang w:val="en-GB"/>
        </w:rPr>
        <w:t xml:space="preserve">about the place </w:t>
      </w:r>
      <w:r w:rsidRPr="00E116B6" w:rsidR="00BB7774">
        <w:rPr>
          <w:lang w:val="en-GB"/>
        </w:rPr>
        <w:t>in questi</w:t>
      </w:r>
      <w:r w:rsidRPr="00E116B6" w:rsidR="006555F4">
        <w:rPr>
          <w:lang w:val="en-GB"/>
        </w:rPr>
        <w:t xml:space="preserve">on </w:t>
      </w:r>
      <w:r w:rsidRPr="00E116B6" w:rsidR="00A86575">
        <w:rPr>
          <w:lang w:val="en-GB"/>
        </w:rPr>
        <w:t xml:space="preserve">being </w:t>
      </w:r>
      <w:r w:rsidRPr="00E116B6" w:rsidR="00F37F04">
        <w:rPr>
          <w:lang w:val="en-GB"/>
        </w:rPr>
        <w:t>the scene of the crime, he had simply nodded. The reconstructi</w:t>
      </w:r>
      <w:r w:rsidRPr="00E116B6" w:rsidR="006555F4">
        <w:rPr>
          <w:lang w:val="en-GB"/>
        </w:rPr>
        <w:t xml:space="preserve">on </w:t>
      </w:r>
      <w:r w:rsidRPr="00E116B6" w:rsidR="00F37F04">
        <w:rPr>
          <w:lang w:val="en-GB"/>
        </w:rPr>
        <w:t>had lasted between ten and fifteen minutes, at the end of which the two witnesses had signed a record of the procedure, without</w:t>
      </w:r>
      <w:r w:rsidRPr="00E116B6" w:rsidR="008D0DD8">
        <w:rPr>
          <w:lang w:val="en-GB"/>
        </w:rPr>
        <w:t xml:space="preserve"> </w:t>
      </w:r>
      <w:r w:rsidRPr="00E116B6" w:rsidR="00F37F04">
        <w:rPr>
          <w:lang w:val="en-GB"/>
        </w:rPr>
        <w:t xml:space="preserve">reading its contents. No pressure had been put </w:t>
      </w:r>
      <w:r w:rsidRPr="00E116B6" w:rsidR="006555F4">
        <w:rPr>
          <w:lang w:val="en-GB"/>
        </w:rPr>
        <w:t xml:space="preserve">on </w:t>
      </w:r>
      <w:r w:rsidRPr="00E116B6" w:rsidR="00F37F04">
        <w:rPr>
          <w:lang w:val="en-GB"/>
        </w:rPr>
        <w:t>the first applicant in their presence.</w:t>
      </w:r>
    </w:p>
    <w:bookmarkStart w:name="identparade1" w:id="34"/>
    <w:p w:rsidRPr="00E116B6" w:rsidR="00AC1180" w:rsidP="00E116B6" w:rsidRDefault="004C4CF3">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64</w:t>
      </w:r>
      <w:r w:rsidRPr="00E116B6">
        <w:rPr>
          <w:lang w:val="en-GB"/>
        </w:rPr>
        <w:fldChar w:fldCharType="end"/>
      </w:r>
      <w:bookmarkEnd w:id="34"/>
      <w:r w:rsidRPr="00E116B6" w:rsidR="00607FDA">
        <w:rPr>
          <w:lang w:val="en-GB"/>
        </w:rPr>
        <w:t>.  </w:t>
      </w:r>
      <w:r w:rsidRPr="00E116B6" w:rsidR="00A86575">
        <w:rPr>
          <w:lang w:val="en-GB"/>
        </w:rPr>
        <w:t>O</w:t>
      </w:r>
      <w:r w:rsidRPr="00E116B6" w:rsidR="001072D6">
        <w:rPr>
          <w:lang w:val="en-GB"/>
        </w:rPr>
        <w:t>ne of the me</w:t>
      </w:r>
      <w:r w:rsidRPr="00E116B6" w:rsidR="00A86575">
        <w:rPr>
          <w:lang w:val="en-GB"/>
        </w:rPr>
        <w:t xml:space="preserve">n who took part in </w:t>
      </w:r>
      <w:r w:rsidRPr="00E116B6" w:rsidR="001072D6">
        <w:rPr>
          <w:lang w:val="en-GB"/>
        </w:rPr>
        <w:t>the identificati</w:t>
      </w:r>
      <w:r w:rsidRPr="00E116B6" w:rsidR="006555F4">
        <w:rPr>
          <w:lang w:val="en-GB"/>
        </w:rPr>
        <w:t xml:space="preserve">on </w:t>
      </w:r>
      <w:r w:rsidRPr="00E116B6" w:rsidR="001072D6">
        <w:rPr>
          <w:lang w:val="en-GB"/>
        </w:rPr>
        <w:t xml:space="preserve">parade </w:t>
      </w:r>
      <w:r w:rsidRPr="00E116B6" w:rsidR="00A86575">
        <w:rPr>
          <w:lang w:val="en-GB"/>
        </w:rPr>
        <w:t xml:space="preserve">where </w:t>
      </w:r>
      <w:r w:rsidRPr="00E116B6" w:rsidR="001072D6">
        <w:rPr>
          <w:lang w:val="en-GB"/>
        </w:rPr>
        <w:t xml:space="preserve">the first applicant had been identified by the victim </w:t>
      </w:r>
      <w:r w:rsidRPr="00E116B6" w:rsidR="006555F4">
        <w:rPr>
          <w:lang w:val="en-GB"/>
        </w:rPr>
        <w:t xml:space="preserve">on </w:t>
      </w:r>
      <w:r w:rsidRPr="00E116B6" w:rsidR="001072D6">
        <w:rPr>
          <w:lang w:val="en-GB"/>
        </w:rPr>
        <w:t>13 May 2004</w:t>
      </w:r>
      <w:r w:rsidRPr="00E116B6" w:rsidR="00A86575">
        <w:rPr>
          <w:lang w:val="en-GB"/>
        </w:rPr>
        <w:t xml:space="preserve"> told the court that he </w:t>
      </w:r>
      <w:r w:rsidRPr="00E116B6" w:rsidR="001072D6">
        <w:rPr>
          <w:lang w:val="en-GB"/>
        </w:rPr>
        <w:t xml:space="preserve">had been approached </w:t>
      </w:r>
      <w:r w:rsidRPr="00E116B6" w:rsidR="00A86575">
        <w:rPr>
          <w:lang w:val="en-GB"/>
        </w:rPr>
        <w:t xml:space="preserve">at random </w:t>
      </w:r>
      <w:r w:rsidRPr="00E116B6" w:rsidR="001072D6">
        <w:rPr>
          <w:lang w:val="en-GB"/>
        </w:rPr>
        <w:t>in the street by the police to take p</w:t>
      </w:r>
      <w:r w:rsidRPr="00E116B6" w:rsidR="00A86575">
        <w:rPr>
          <w:lang w:val="en-GB"/>
        </w:rPr>
        <w:t>art</w:t>
      </w:r>
      <w:r w:rsidRPr="00E116B6" w:rsidR="001072D6">
        <w:rPr>
          <w:lang w:val="en-GB"/>
        </w:rPr>
        <w:t xml:space="preserve"> in the line</w:t>
      </w:r>
      <w:r w:rsidRPr="00E116B6" w:rsidR="00B55648">
        <w:rPr>
          <w:lang w:val="en-GB"/>
        </w:rPr>
        <w:t>-</w:t>
      </w:r>
      <w:r w:rsidRPr="00E116B6" w:rsidR="001072D6">
        <w:rPr>
          <w:lang w:val="en-GB"/>
        </w:rPr>
        <w:t>up</w:t>
      </w:r>
      <w:r w:rsidRPr="00E116B6" w:rsidR="00A86575">
        <w:rPr>
          <w:lang w:val="en-GB"/>
        </w:rPr>
        <w:t xml:space="preserve">. He </w:t>
      </w:r>
      <w:r w:rsidRPr="00E116B6" w:rsidR="001072D6">
        <w:rPr>
          <w:lang w:val="en-GB"/>
        </w:rPr>
        <w:t>stated that, with the excepti</w:t>
      </w:r>
      <w:r w:rsidRPr="00E116B6" w:rsidR="006555F4">
        <w:rPr>
          <w:lang w:val="en-GB"/>
        </w:rPr>
        <w:t xml:space="preserve">on </w:t>
      </w:r>
      <w:r w:rsidRPr="00E116B6" w:rsidR="001072D6">
        <w:rPr>
          <w:lang w:val="en-GB"/>
        </w:rPr>
        <w:t xml:space="preserve">of the first applicant, all three members of the </w:t>
      </w:r>
      <w:r w:rsidRPr="00E116B6" w:rsidR="00A86575">
        <w:rPr>
          <w:lang w:val="en-GB"/>
        </w:rPr>
        <w:t>identificati</w:t>
      </w:r>
      <w:r w:rsidRPr="00E116B6" w:rsidR="006555F4">
        <w:rPr>
          <w:lang w:val="en-GB"/>
        </w:rPr>
        <w:t xml:space="preserve">on </w:t>
      </w:r>
      <w:r w:rsidRPr="00E116B6" w:rsidR="001072D6">
        <w:rPr>
          <w:lang w:val="en-GB"/>
        </w:rPr>
        <w:t xml:space="preserve">parade, including himself, </w:t>
      </w:r>
      <w:r w:rsidRPr="00E116B6" w:rsidR="00A86575">
        <w:rPr>
          <w:lang w:val="en-GB"/>
        </w:rPr>
        <w:t xml:space="preserve">had been </w:t>
      </w:r>
      <w:r w:rsidRPr="00E116B6" w:rsidR="001072D6">
        <w:rPr>
          <w:lang w:val="en-GB"/>
        </w:rPr>
        <w:t>clean</w:t>
      </w:r>
      <w:r w:rsidRPr="00E116B6" w:rsidR="00A86575">
        <w:rPr>
          <w:lang w:val="en-GB"/>
        </w:rPr>
        <w:t>-</w:t>
      </w:r>
      <w:r w:rsidRPr="00E116B6" w:rsidR="001072D6">
        <w:rPr>
          <w:lang w:val="en-GB"/>
        </w:rPr>
        <w:t>shave</w:t>
      </w:r>
      <w:r w:rsidRPr="00E116B6" w:rsidR="00A86575">
        <w:rPr>
          <w:lang w:val="en-GB"/>
        </w:rPr>
        <w:t>n</w:t>
      </w:r>
      <w:r w:rsidRPr="00E116B6" w:rsidR="001072D6">
        <w:rPr>
          <w:lang w:val="en-GB"/>
        </w:rPr>
        <w:t xml:space="preserve">. Another clearly distinguishing feature </w:t>
      </w:r>
      <w:r w:rsidRPr="00E116B6" w:rsidR="00A86575">
        <w:rPr>
          <w:lang w:val="en-GB"/>
        </w:rPr>
        <w:t xml:space="preserve">had been </w:t>
      </w:r>
      <w:r w:rsidRPr="00E116B6" w:rsidR="001072D6">
        <w:rPr>
          <w:lang w:val="en-GB"/>
        </w:rPr>
        <w:t xml:space="preserve">that </w:t>
      </w:r>
      <w:r w:rsidRPr="00E116B6" w:rsidR="00A86575">
        <w:rPr>
          <w:lang w:val="en-GB"/>
        </w:rPr>
        <w:t xml:space="preserve">of the four men in the line-up, </w:t>
      </w:r>
      <w:r w:rsidRPr="00E116B6" w:rsidR="001072D6">
        <w:rPr>
          <w:lang w:val="en-GB"/>
        </w:rPr>
        <w:t xml:space="preserve">only the first applicant </w:t>
      </w:r>
      <w:r w:rsidRPr="00E116B6" w:rsidR="00A86575">
        <w:rPr>
          <w:lang w:val="en-GB"/>
        </w:rPr>
        <w:t xml:space="preserve">had been </w:t>
      </w:r>
      <w:r w:rsidRPr="00E116B6" w:rsidR="001072D6">
        <w:rPr>
          <w:lang w:val="en-GB"/>
        </w:rPr>
        <w:t xml:space="preserve">bald. The applicant had </w:t>
      </w:r>
      <w:r w:rsidRPr="00E116B6" w:rsidR="00A86575">
        <w:rPr>
          <w:lang w:val="en-GB"/>
        </w:rPr>
        <w:t xml:space="preserve">looked </w:t>
      </w:r>
      <w:r w:rsidRPr="00E116B6" w:rsidR="001072D6">
        <w:rPr>
          <w:lang w:val="en-GB"/>
        </w:rPr>
        <w:t>exhaust</w:t>
      </w:r>
      <w:r w:rsidRPr="00E116B6" w:rsidR="00A86575">
        <w:rPr>
          <w:lang w:val="en-GB"/>
        </w:rPr>
        <w:t xml:space="preserve">ed and </w:t>
      </w:r>
      <w:r w:rsidRPr="00E116B6" w:rsidR="001072D6">
        <w:rPr>
          <w:lang w:val="en-GB"/>
        </w:rPr>
        <w:t xml:space="preserve">had had a deep bruise around one eye. </w:t>
      </w:r>
      <w:r w:rsidRPr="00E116B6" w:rsidR="00A86575">
        <w:rPr>
          <w:lang w:val="en-GB"/>
        </w:rPr>
        <w:t>T</w:t>
      </w:r>
      <w:r w:rsidRPr="00E116B6" w:rsidR="001072D6">
        <w:rPr>
          <w:lang w:val="en-GB"/>
        </w:rPr>
        <w:t xml:space="preserve">here had </w:t>
      </w:r>
      <w:r w:rsidRPr="00E116B6" w:rsidR="00A86575">
        <w:rPr>
          <w:lang w:val="en-GB"/>
        </w:rPr>
        <w:t xml:space="preserve">therefore </w:t>
      </w:r>
      <w:r w:rsidRPr="00E116B6" w:rsidR="001072D6">
        <w:rPr>
          <w:lang w:val="en-GB"/>
        </w:rPr>
        <w:t>been a considerable difference in appearance between the first applicant and the others.</w:t>
      </w:r>
    </w:p>
    <w:bookmarkStart w:name="identparade2" w:id="35"/>
    <w:p w:rsidRPr="00E116B6" w:rsidR="00607FDA" w:rsidP="00E116B6" w:rsidRDefault="004C4CF3">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65</w:t>
      </w:r>
      <w:r w:rsidRPr="00E116B6">
        <w:rPr>
          <w:lang w:val="en-GB"/>
        </w:rPr>
        <w:fldChar w:fldCharType="end"/>
      </w:r>
      <w:bookmarkEnd w:id="35"/>
      <w:r w:rsidRPr="00E116B6" w:rsidR="008D0DD8">
        <w:rPr>
          <w:lang w:val="en-GB"/>
        </w:rPr>
        <w:t>.  </w:t>
      </w:r>
      <w:r w:rsidRPr="00E116B6" w:rsidR="001072D6">
        <w:rPr>
          <w:lang w:val="en-GB"/>
        </w:rPr>
        <w:t xml:space="preserve">Another participant </w:t>
      </w:r>
      <w:r w:rsidRPr="00E116B6" w:rsidR="00A86575">
        <w:rPr>
          <w:lang w:val="en-GB"/>
        </w:rPr>
        <w:t xml:space="preserve">in </w:t>
      </w:r>
      <w:r w:rsidRPr="00E116B6" w:rsidR="001072D6">
        <w:rPr>
          <w:lang w:val="en-GB"/>
        </w:rPr>
        <w:t>the identificati</w:t>
      </w:r>
      <w:r w:rsidRPr="00E116B6" w:rsidR="006555F4">
        <w:rPr>
          <w:lang w:val="en-GB"/>
        </w:rPr>
        <w:t xml:space="preserve">on </w:t>
      </w:r>
      <w:r w:rsidRPr="00E116B6" w:rsidR="001072D6">
        <w:rPr>
          <w:lang w:val="en-GB"/>
        </w:rPr>
        <w:t>parade, who had also been approached in the street to take p</w:t>
      </w:r>
      <w:r w:rsidRPr="00E116B6" w:rsidR="00A86575">
        <w:rPr>
          <w:lang w:val="en-GB"/>
        </w:rPr>
        <w:t>art</w:t>
      </w:r>
      <w:r w:rsidRPr="00E116B6" w:rsidR="001072D6">
        <w:rPr>
          <w:lang w:val="en-GB"/>
        </w:rPr>
        <w:t>, gave the same versi</w:t>
      </w:r>
      <w:r w:rsidRPr="00E116B6" w:rsidR="006555F4">
        <w:rPr>
          <w:lang w:val="en-GB"/>
        </w:rPr>
        <w:t xml:space="preserve">on </w:t>
      </w:r>
      <w:r w:rsidRPr="00E116B6" w:rsidR="001072D6">
        <w:rPr>
          <w:lang w:val="en-GB"/>
        </w:rPr>
        <w:t xml:space="preserve">of events, including regarding the bruise. He added that the first applicant had been the only one not wearing a belt and without shoelaces. When the victim had identified </w:t>
      </w:r>
      <w:r w:rsidRPr="00E116B6" w:rsidR="00A86575">
        <w:rPr>
          <w:lang w:val="en-GB"/>
        </w:rPr>
        <w:t xml:space="preserve">him </w:t>
      </w:r>
      <w:r w:rsidRPr="00E116B6" w:rsidR="001072D6">
        <w:rPr>
          <w:lang w:val="en-GB"/>
        </w:rPr>
        <w:t>as the one who had shot at him, the first applicant had exclaimed that it was not him.</w:t>
      </w:r>
    </w:p>
    <w:p w:rsidRPr="00E116B6" w:rsidR="001072D6" w:rsidP="00E116B6" w:rsidRDefault="004C4CF3">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66</w:t>
      </w:r>
      <w:r w:rsidRPr="00E116B6">
        <w:rPr>
          <w:lang w:val="en-GB"/>
        </w:rPr>
        <w:fldChar w:fldCharType="end"/>
      </w:r>
      <w:r w:rsidRPr="00E116B6" w:rsidR="001072D6">
        <w:rPr>
          <w:lang w:val="en-GB"/>
        </w:rPr>
        <w:t>.  </w:t>
      </w:r>
      <w:r w:rsidRPr="00E116B6" w:rsidR="008D0DD8">
        <w:rPr>
          <w:lang w:val="en-GB"/>
        </w:rPr>
        <w:t>When questioned by the trial court, t</w:t>
      </w:r>
      <w:r w:rsidRPr="00E116B6" w:rsidR="001072D6">
        <w:rPr>
          <w:lang w:val="en-GB"/>
        </w:rPr>
        <w:t xml:space="preserve">he two taxi drivers who had signed the report of 25 February 2004 </w:t>
      </w:r>
      <w:r w:rsidRPr="00E116B6" w:rsidR="006555F4">
        <w:rPr>
          <w:lang w:val="en-GB"/>
        </w:rPr>
        <w:t xml:space="preserve">on </w:t>
      </w:r>
      <w:r w:rsidRPr="00E116B6" w:rsidR="00DC15E5">
        <w:rPr>
          <w:lang w:val="en-GB"/>
        </w:rPr>
        <w:t xml:space="preserve">the handing in of </w:t>
      </w:r>
      <w:r w:rsidRPr="00E116B6" w:rsidR="00A014DA">
        <w:rPr>
          <w:lang w:val="en-GB"/>
        </w:rPr>
        <w:t>the PSM pistol by the woman an</w:t>
      </w:r>
      <w:r w:rsidRPr="00E116B6" w:rsidR="001072D6">
        <w:rPr>
          <w:lang w:val="en-GB"/>
        </w:rPr>
        <w:t>d her s</w:t>
      </w:r>
      <w:r w:rsidRPr="00E116B6" w:rsidR="006555F4">
        <w:rPr>
          <w:lang w:val="en-GB"/>
        </w:rPr>
        <w:t xml:space="preserve">on </w:t>
      </w:r>
      <w:r w:rsidRPr="00E116B6" w:rsidR="001072D6">
        <w:rPr>
          <w:lang w:val="en-GB"/>
        </w:rPr>
        <w:t xml:space="preserve">stated that they had been </w:t>
      </w:r>
      <w:r w:rsidRPr="00E116B6" w:rsidR="00DC15E5">
        <w:rPr>
          <w:lang w:val="en-GB"/>
        </w:rPr>
        <w:t xml:space="preserve">taken </w:t>
      </w:r>
      <w:r w:rsidRPr="00E116B6" w:rsidR="001072D6">
        <w:rPr>
          <w:lang w:val="en-GB"/>
        </w:rPr>
        <w:t xml:space="preserve">to the main police headquarters </w:t>
      </w:r>
      <w:r w:rsidRPr="00E116B6" w:rsidR="00DC15E5">
        <w:rPr>
          <w:lang w:val="en-GB"/>
        </w:rPr>
        <w:t xml:space="preserve">under </w:t>
      </w:r>
      <w:r w:rsidRPr="00E116B6" w:rsidR="00A014DA">
        <w:rPr>
          <w:lang w:val="en-GB"/>
        </w:rPr>
        <w:t xml:space="preserve">coercion, </w:t>
      </w:r>
      <w:r w:rsidRPr="00E116B6" w:rsidR="006555F4">
        <w:rPr>
          <w:lang w:val="en-GB"/>
        </w:rPr>
        <w:t xml:space="preserve">on </w:t>
      </w:r>
      <w:r w:rsidRPr="00E116B6" w:rsidR="00A014DA">
        <w:rPr>
          <w:lang w:val="en-GB"/>
        </w:rPr>
        <w:t>pain of having their driving licen</w:t>
      </w:r>
      <w:r w:rsidRPr="00E116B6" w:rsidR="00DC15E5">
        <w:rPr>
          <w:lang w:val="en-GB"/>
        </w:rPr>
        <w:t>c</w:t>
      </w:r>
      <w:r w:rsidRPr="00E116B6" w:rsidR="00A014DA">
        <w:rPr>
          <w:lang w:val="en-GB"/>
        </w:rPr>
        <w:t xml:space="preserve">es confiscated by the police, in order </w:t>
      </w:r>
      <w:r w:rsidRPr="00E116B6" w:rsidR="001072D6">
        <w:rPr>
          <w:lang w:val="en-GB"/>
        </w:rPr>
        <w:t>to take part</w:t>
      </w:r>
      <w:r w:rsidRPr="00E116B6" w:rsidR="00A014DA">
        <w:rPr>
          <w:lang w:val="en-GB"/>
        </w:rPr>
        <w:t xml:space="preserve"> as witnesses</w:t>
      </w:r>
      <w:r w:rsidRPr="00E116B6" w:rsidR="001072D6">
        <w:rPr>
          <w:lang w:val="en-GB"/>
        </w:rPr>
        <w:t xml:space="preserve"> in an investigative procedure. They were </w:t>
      </w:r>
      <w:r w:rsidRPr="00E116B6" w:rsidR="00DC15E5">
        <w:rPr>
          <w:lang w:val="en-GB"/>
        </w:rPr>
        <w:t xml:space="preserve">told </w:t>
      </w:r>
      <w:r w:rsidRPr="00E116B6" w:rsidR="001072D6">
        <w:rPr>
          <w:lang w:val="en-GB"/>
        </w:rPr>
        <w:t>by an officer that a woman and a child were going to bring in a weapon, and they would have to confirm th</w:t>
      </w:r>
      <w:r w:rsidRPr="00E116B6" w:rsidR="00DC15E5">
        <w:rPr>
          <w:lang w:val="en-GB"/>
        </w:rPr>
        <w:t>at</w:t>
      </w:r>
      <w:r w:rsidRPr="00E116B6" w:rsidR="001072D6">
        <w:rPr>
          <w:lang w:val="en-GB"/>
        </w:rPr>
        <w:t xml:space="preserve"> </w:t>
      </w:r>
      <w:r w:rsidRPr="00E116B6" w:rsidR="00DC15E5">
        <w:rPr>
          <w:lang w:val="en-GB"/>
        </w:rPr>
        <w:t xml:space="preserve">fact </w:t>
      </w:r>
      <w:r w:rsidRPr="00E116B6" w:rsidR="001072D6">
        <w:rPr>
          <w:lang w:val="en-GB"/>
        </w:rPr>
        <w:t>by signing a record. They had waited in vain for an hour and a half for the woman and child to arrive. The two policemen had then taken a weap</w:t>
      </w:r>
      <w:r w:rsidRPr="00E116B6" w:rsidR="006555F4">
        <w:rPr>
          <w:lang w:val="en-GB"/>
        </w:rPr>
        <w:t xml:space="preserve">on </w:t>
      </w:r>
      <w:r w:rsidRPr="00E116B6" w:rsidR="001072D6">
        <w:rPr>
          <w:lang w:val="en-GB"/>
        </w:rPr>
        <w:t xml:space="preserve">equipped with a silencer out of a </w:t>
      </w:r>
      <w:r w:rsidRPr="00E116B6" w:rsidR="00A014DA">
        <w:rPr>
          <w:lang w:val="en-GB"/>
        </w:rPr>
        <w:t xml:space="preserve">drawer in a table, explaining to the taxi drivers that </w:t>
      </w:r>
      <w:r w:rsidRPr="00E116B6" w:rsidR="001072D6">
        <w:rPr>
          <w:lang w:val="en-GB"/>
        </w:rPr>
        <w:t>it was the weap</w:t>
      </w:r>
      <w:r w:rsidRPr="00E116B6" w:rsidR="006555F4">
        <w:rPr>
          <w:lang w:val="en-GB"/>
        </w:rPr>
        <w:t xml:space="preserve">on </w:t>
      </w:r>
      <w:r w:rsidRPr="00E116B6" w:rsidR="001072D6">
        <w:rPr>
          <w:lang w:val="en-GB"/>
        </w:rPr>
        <w:t>in question. The police officers had drawn up a</w:t>
      </w:r>
      <w:r w:rsidRPr="00E116B6" w:rsidR="00A014DA">
        <w:rPr>
          <w:lang w:val="en-GB"/>
        </w:rPr>
        <w:t xml:space="preserve"> report </w:t>
      </w:r>
      <w:r w:rsidRPr="00E116B6" w:rsidR="00A96354">
        <w:rPr>
          <w:lang w:val="en-GB"/>
        </w:rPr>
        <w:t xml:space="preserve">saying </w:t>
      </w:r>
      <w:r w:rsidRPr="00E116B6" w:rsidR="00DC15E5">
        <w:rPr>
          <w:lang w:val="en-GB"/>
        </w:rPr>
        <w:t xml:space="preserve">that </w:t>
      </w:r>
      <w:r w:rsidRPr="00E116B6" w:rsidR="001072D6">
        <w:rPr>
          <w:lang w:val="en-GB"/>
        </w:rPr>
        <w:t>a woman and child with non-Georgian names had brought the weap</w:t>
      </w:r>
      <w:r w:rsidRPr="00E116B6" w:rsidR="006555F4">
        <w:rPr>
          <w:lang w:val="en-GB"/>
        </w:rPr>
        <w:t xml:space="preserve">on </w:t>
      </w:r>
      <w:r w:rsidRPr="00E116B6" w:rsidR="001072D6">
        <w:rPr>
          <w:lang w:val="en-GB"/>
        </w:rPr>
        <w:t>to the station. The two taxi drivers had signed th</w:t>
      </w:r>
      <w:r w:rsidRPr="00E116B6" w:rsidR="00415E26">
        <w:rPr>
          <w:lang w:val="en-GB"/>
        </w:rPr>
        <w:t xml:space="preserve">e </w:t>
      </w:r>
      <w:r w:rsidRPr="00E116B6" w:rsidR="001072D6">
        <w:rPr>
          <w:lang w:val="en-GB"/>
        </w:rPr>
        <w:t xml:space="preserve">fabricated </w:t>
      </w:r>
      <w:r w:rsidRPr="00E116B6" w:rsidR="00A014DA">
        <w:rPr>
          <w:lang w:val="en-GB"/>
        </w:rPr>
        <w:t xml:space="preserve">document </w:t>
      </w:r>
      <w:r w:rsidRPr="00E116B6" w:rsidR="001072D6">
        <w:rPr>
          <w:lang w:val="en-GB"/>
        </w:rPr>
        <w:t xml:space="preserve">in order to get their </w:t>
      </w:r>
      <w:r w:rsidRPr="00E116B6" w:rsidR="00A014DA">
        <w:rPr>
          <w:lang w:val="en-GB"/>
        </w:rPr>
        <w:t>driving licen</w:t>
      </w:r>
      <w:r w:rsidRPr="00E116B6" w:rsidR="00DC15E5">
        <w:rPr>
          <w:lang w:val="en-GB"/>
        </w:rPr>
        <w:t>c</w:t>
      </w:r>
      <w:r w:rsidRPr="00E116B6" w:rsidR="00A014DA">
        <w:rPr>
          <w:lang w:val="en-GB"/>
        </w:rPr>
        <w:t>es</w:t>
      </w:r>
      <w:r w:rsidRPr="00E116B6" w:rsidR="001072D6">
        <w:rPr>
          <w:lang w:val="en-GB"/>
        </w:rPr>
        <w:t xml:space="preserve"> back and leave the premises as so</w:t>
      </w:r>
      <w:r w:rsidRPr="00E116B6" w:rsidR="006555F4">
        <w:rPr>
          <w:lang w:val="en-GB"/>
        </w:rPr>
        <w:t xml:space="preserve">on </w:t>
      </w:r>
      <w:r w:rsidRPr="00E116B6" w:rsidR="001072D6">
        <w:rPr>
          <w:lang w:val="en-GB"/>
        </w:rPr>
        <w:t>as possible.</w:t>
      </w:r>
    </w:p>
    <w:p w:rsidRPr="00E116B6" w:rsidR="00AC1180" w:rsidP="00E116B6" w:rsidRDefault="004C4CF3">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67</w:t>
      </w:r>
      <w:r w:rsidRPr="00E116B6">
        <w:rPr>
          <w:lang w:val="en-GB"/>
        </w:rPr>
        <w:fldChar w:fldCharType="end"/>
      </w:r>
      <w:r w:rsidRPr="00E116B6" w:rsidR="00A014DA">
        <w:rPr>
          <w:lang w:val="en-GB"/>
        </w:rPr>
        <w:t xml:space="preserve">.  The interpreter whose signature was appended </w:t>
      </w:r>
      <w:r w:rsidRPr="00E116B6" w:rsidR="00DC15E5">
        <w:rPr>
          <w:lang w:val="en-GB"/>
        </w:rPr>
        <w:t>to t</w:t>
      </w:r>
      <w:r w:rsidRPr="00E116B6" w:rsidR="00A014DA">
        <w:rPr>
          <w:lang w:val="en-GB"/>
        </w:rPr>
        <w:t xml:space="preserve">he bottom of the same record of 25 February 2004 stated before the trial court </w:t>
      </w:r>
      <w:r w:rsidRPr="00E116B6" w:rsidR="00DC15E5">
        <w:rPr>
          <w:lang w:val="en-GB"/>
        </w:rPr>
        <w:t xml:space="preserve">that </w:t>
      </w:r>
      <w:r w:rsidRPr="00E116B6" w:rsidR="00A014DA">
        <w:rPr>
          <w:lang w:val="en-GB"/>
        </w:rPr>
        <w:t>she had n</w:t>
      </w:r>
      <w:r w:rsidRPr="00E116B6" w:rsidR="00DC15E5">
        <w:rPr>
          <w:lang w:val="en-GB"/>
        </w:rPr>
        <w:t xml:space="preserve">ot </w:t>
      </w:r>
      <w:r w:rsidRPr="00E116B6" w:rsidR="00A96354">
        <w:rPr>
          <w:lang w:val="en-GB"/>
        </w:rPr>
        <w:t xml:space="preserve">acted </w:t>
      </w:r>
      <w:r w:rsidRPr="00E116B6" w:rsidR="00A014DA">
        <w:rPr>
          <w:lang w:val="en-GB"/>
        </w:rPr>
        <w:t xml:space="preserve">as an interpreter </w:t>
      </w:r>
      <w:r w:rsidRPr="00E116B6" w:rsidR="00415E26">
        <w:rPr>
          <w:lang w:val="en-GB"/>
        </w:rPr>
        <w:t>in the investigative procedure in questi</w:t>
      </w:r>
      <w:r w:rsidRPr="00E116B6" w:rsidR="006555F4">
        <w:rPr>
          <w:lang w:val="en-GB"/>
        </w:rPr>
        <w:t xml:space="preserve">on </w:t>
      </w:r>
      <w:r w:rsidRPr="00E116B6" w:rsidR="00A014DA">
        <w:rPr>
          <w:lang w:val="en-GB"/>
        </w:rPr>
        <w:t xml:space="preserve">for a woman and child who did not speak Georgian. She </w:t>
      </w:r>
      <w:r w:rsidRPr="00E116B6" w:rsidR="00DC15E5">
        <w:rPr>
          <w:lang w:val="en-GB"/>
        </w:rPr>
        <w:t xml:space="preserve">alleged </w:t>
      </w:r>
      <w:r w:rsidRPr="00E116B6" w:rsidR="00A014DA">
        <w:rPr>
          <w:lang w:val="en-GB"/>
        </w:rPr>
        <w:t xml:space="preserve">that her signature </w:t>
      </w:r>
      <w:r w:rsidRPr="00E116B6" w:rsidR="00DC15E5">
        <w:rPr>
          <w:lang w:val="en-GB"/>
        </w:rPr>
        <w:t xml:space="preserve">had been </w:t>
      </w:r>
      <w:r w:rsidRPr="00E116B6" w:rsidR="00A014DA">
        <w:rPr>
          <w:lang w:val="en-GB"/>
        </w:rPr>
        <w:t>forged.</w:t>
      </w:r>
    </w:p>
    <w:p w:rsidRPr="00E116B6" w:rsidR="00A014DA" w:rsidP="00E116B6" w:rsidRDefault="004C4CF3">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68</w:t>
      </w:r>
      <w:r w:rsidRPr="00E116B6">
        <w:rPr>
          <w:lang w:val="en-GB"/>
        </w:rPr>
        <w:fldChar w:fldCharType="end"/>
      </w:r>
      <w:r w:rsidRPr="00E116B6" w:rsidR="00A014DA">
        <w:rPr>
          <w:lang w:val="en-GB"/>
        </w:rPr>
        <w:t>.  </w:t>
      </w:r>
      <w:r w:rsidRPr="00E116B6" w:rsidR="00844676">
        <w:rPr>
          <w:lang w:val="en-GB"/>
        </w:rPr>
        <w:t>F</w:t>
      </w:r>
      <w:r w:rsidRPr="00E116B6" w:rsidR="00A014DA">
        <w:rPr>
          <w:lang w:val="en-GB"/>
        </w:rPr>
        <w:t xml:space="preserve">our people who had attended the wedding party of 19 January 2004 </w:t>
      </w:r>
      <w:r w:rsidRPr="00E116B6" w:rsidR="00844676">
        <w:rPr>
          <w:lang w:val="en-GB"/>
        </w:rPr>
        <w:t xml:space="preserve">also attended the hearing and </w:t>
      </w:r>
      <w:r w:rsidRPr="00E116B6" w:rsidR="00A014DA">
        <w:rPr>
          <w:lang w:val="en-GB"/>
        </w:rPr>
        <w:t>confirmed the applicant</w:t>
      </w:r>
      <w:r w:rsidRPr="00E116B6" w:rsidR="00E116B6">
        <w:rPr>
          <w:lang w:val="en-GB"/>
        </w:rPr>
        <w:t>’</w:t>
      </w:r>
      <w:r w:rsidRPr="00E116B6" w:rsidR="00A014DA">
        <w:rPr>
          <w:lang w:val="en-GB"/>
        </w:rPr>
        <w:t>s alibi by stating that they had seen him at the party</w:t>
      </w:r>
      <w:r w:rsidRPr="00E116B6" w:rsidR="00844676">
        <w:rPr>
          <w:lang w:val="en-GB"/>
        </w:rPr>
        <w:t>, that he had stayed</w:t>
      </w:r>
      <w:r w:rsidRPr="00E116B6" w:rsidR="00A014DA">
        <w:rPr>
          <w:lang w:val="en-GB"/>
        </w:rPr>
        <w:t xml:space="preserve"> until late in the evening</w:t>
      </w:r>
      <w:r w:rsidRPr="00E116B6" w:rsidR="00A96354">
        <w:rPr>
          <w:lang w:val="en-GB"/>
        </w:rPr>
        <w:t>,</w:t>
      </w:r>
      <w:r w:rsidRPr="00E116B6" w:rsidR="00A014DA">
        <w:rPr>
          <w:lang w:val="en-GB"/>
        </w:rPr>
        <w:t xml:space="preserve"> and </w:t>
      </w:r>
      <w:r w:rsidRPr="00E116B6" w:rsidR="00844676">
        <w:rPr>
          <w:lang w:val="en-GB"/>
        </w:rPr>
        <w:t xml:space="preserve">definitely until </w:t>
      </w:r>
      <w:r w:rsidRPr="00E116B6" w:rsidR="00A014DA">
        <w:rPr>
          <w:lang w:val="en-GB"/>
        </w:rPr>
        <w:t>after 9 p.m.</w:t>
      </w:r>
    </w:p>
    <w:p w:rsidRPr="00E116B6" w:rsidR="00A014DA" w:rsidP="00E116B6" w:rsidRDefault="004C4CF3">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69</w:t>
      </w:r>
      <w:r w:rsidRPr="00E116B6">
        <w:rPr>
          <w:lang w:val="en-GB"/>
        </w:rPr>
        <w:fldChar w:fldCharType="end"/>
      </w:r>
      <w:r w:rsidRPr="00E116B6" w:rsidR="00A014DA">
        <w:rPr>
          <w:lang w:val="en-GB"/>
        </w:rPr>
        <w:t>.  </w:t>
      </w:r>
      <w:r w:rsidRPr="00E116B6" w:rsidR="00A328D5">
        <w:rPr>
          <w:lang w:val="en-GB"/>
        </w:rPr>
        <w:t>A</w:t>
      </w:r>
      <w:r w:rsidRPr="00E116B6" w:rsidR="00844676">
        <w:rPr>
          <w:lang w:val="en-GB"/>
        </w:rPr>
        <w:t xml:space="preserve"> member of a</w:t>
      </w:r>
      <w:r w:rsidRPr="00E116B6" w:rsidR="001C1417">
        <w:rPr>
          <w:lang w:val="en-GB"/>
        </w:rPr>
        <w:t xml:space="preserve">n independent human rights </w:t>
      </w:r>
      <w:r w:rsidRPr="00E116B6" w:rsidR="00844676">
        <w:rPr>
          <w:lang w:val="en-GB"/>
        </w:rPr>
        <w:t>organisati</w:t>
      </w:r>
      <w:r w:rsidRPr="00E116B6" w:rsidR="006555F4">
        <w:rPr>
          <w:lang w:val="en-GB"/>
        </w:rPr>
        <w:t xml:space="preserve">on </w:t>
      </w:r>
      <w:r w:rsidRPr="00E116B6" w:rsidR="00A328D5">
        <w:rPr>
          <w:lang w:val="en-GB"/>
        </w:rPr>
        <w:t>told the trial court</w:t>
      </w:r>
      <w:r w:rsidRPr="00E116B6" w:rsidDel="00844676" w:rsidR="00A328D5">
        <w:rPr>
          <w:lang w:val="en-GB"/>
        </w:rPr>
        <w:t xml:space="preserve"> </w:t>
      </w:r>
      <w:r w:rsidRPr="00E116B6" w:rsidR="001C1417">
        <w:rPr>
          <w:lang w:val="en-GB"/>
        </w:rPr>
        <w:t xml:space="preserve">that at the time </w:t>
      </w:r>
      <w:r w:rsidRPr="00E116B6" w:rsidR="00844676">
        <w:rPr>
          <w:lang w:val="en-GB"/>
        </w:rPr>
        <w:t xml:space="preserve">of the events </w:t>
      </w:r>
      <w:r w:rsidRPr="00E116B6" w:rsidR="001C1417">
        <w:rPr>
          <w:lang w:val="en-GB"/>
        </w:rPr>
        <w:t>she had had official permissi</w:t>
      </w:r>
      <w:r w:rsidRPr="00E116B6" w:rsidR="006555F4">
        <w:rPr>
          <w:lang w:val="en-GB"/>
        </w:rPr>
        <w:t xml:space="preserve">on </w:t>
      </w:r>
      <w:r w:rsidRPr="00E116B6" w:rsidR="001C1417">
        <w:rPr>
          <w:lang w:val="en-GB"/>
        </w:rPr>
        <w:t xml:space="preserve">from the State to visit prisoners who had allegedly been subjected to abuse. Following a series of complaints by the family, she had visited the first applicant two weeks after his arrest. She </w:t>
      </w:r>
      <w:r w:rsidRPr="00E116B6" w:rsidR="00A328D5">
        <w:rPr>
          <w:lang w:val="en-GB"/>
        </w:rPr>
        <w:t xml:space="preserve">had seen </w:t>
      </w:r>
      <w:r w:rsidRPr="00E116B6" w:rsidR="001C1417">
        <w:rPr>
          <w:lang w:val="en-GB"/>
        </w:rPr>
        <w:t xml:space="preserve">that he had a head wound, cuts </w:t>
      </w:r>
      <w:r w:rsidRPr="00E116B6" w:rsidR="006555F4">
        <w:rPr>
          <w:lang w:val="en-GB"/>
        </w:rPr>
        <w:t xml:space="preserve">on </w:t>
      </w:r>
      <w:r w:rsidRPr="00E116B6" w:rsidR="001C1417">
        <w:rPr>
          <w:lang w:val="en-GB"/>
        </w:rPr>
        <w:t xml:space="preserve">his face and </w:t>
      </w:r>
      <w:r w:rsidRPr="00E116B6" w:rsidR="00A328D5">
        <w:rPr>
          <w:lang w:val="en-GB"/>
        </w:rPr>
        <w:t xml:space="preserve">had </w:t>
      </w:r>
      <w:r w:rsidRPr="00E116B6" w:rsidR="001C1417">
        <w:rPr>
          <w:lang w:val="en-GB"/>
        </w:rPr>
        <w:t xml:space="preserve">been in a generally poor condition. </w:t>
      </w:r>
      <w:r w:rsidRPr="00E116B6" w:rsidR="00BC65EB">
        <w:rPr>
          <w:lang w:val="en-GB"/>
        </w:rPr>
        <w:t>The first applicant</w:t>
      </w:r>
      <w:r w:rsidRPr="00E116B6" w:rsidR="001C1417">
        <w:rPr>
          <w:lang w:val="en-GB"/>
        </w:rPr>
        <w:t xml:space="preserve"> had also complained </w:t>
      </w:r>
      <w:r w:rsidRPr="00E116B6" w:rsidR="00BC65EB">
        <w:rPr>
          <w:lang w:val="en-GB"/>
        </w:rPr>
        <w:t xml:space="preserve">to her </w:t>
      </w:r>
      <w:r w:rsidRPr="00E116B6" w:rsidR="001C1417">
        <w:rPr>
          <w:lang w:val="en-GB"/>
        </w:rPr>
        <w:t>of a fracture of the bone surrounding his eye. He had subsequently spent time in the pris</w:t>
      </w:r>
      <w:r w:rsidRPr="00E116B6" w:rsidR="006555F4">
        <w:rPr>
          <w:lang w:val="en-GB"/>
        </w:rPr>
        <w:t xml:space="preserve">on </w:t>
      </w:r>
      <w:r w:rsidRPr="00E116B6" w:rsidR="001C1417">
        <w:rPr>
          <w:lang w:val="en-GB"/>
        </w:rPr>
        <w:t>hospital but had requested to be transferred back to pris</w:t>
      </w:r>
      <w:r w:rsidRPr="00E116B6" w:rsidR="006555F4">
        <w:rPr>
          <w:lang w:val="en-GB"/>
        </w:rPr>
        <w:t xml:space="preserve">on </w:t>
      </w:r>
      <w:r w:rsidRPr="00E116B6" w:rsidR="001C1417">
        <w:rPr>
          <w:lang w:val="en-GB"/>
        </w:rPr>
        <w:t>because various people, including the member of parliament</w:t>
      </w:r>
      <w:r w:rsidRPr="00E116B6" w:rsidR="00E116B6">
        <w:rPr>
          <w:lang w:val="en-GB"/>
        </w:rPr>
        <w:t>’</w:t>
      </w:r>
      <w:r w:rsidRPr="00E116B6" w:rsidR="00844676">
        <w:rPr>
          <w:lang w:val="en-GB"/>
        </w:rPr>
        <w:t>s lawyer</w:t>
      </w:r>
      <w:r w:rsidRPr="00E116B6" w:rsidR="001C1417">
        <w:rPr>
          <w:lang w:val="en-GB"/>
        </w:rPr>
        <w:t xml:space="preserve">, had been able to visit </w:t>
      </w:r>
      <w:r w:rsidRPr="00E116B6" w:rsidR="00844676">
        <w:rPr>
          <w:lang w:val="en-GB"/>
        </w:rPr>
        <w:t xml:space="preserve">him </w:t>
      </w:r>
      <w:r w:rsidRPr="00E116B6" w:rsidR="001C1417">
        <w:rPr>
          <w:lang w:val="en-GB"/>
        </w:rPr>
        <w:t>in the hospital</w:t>
      </w:r>
      <w:r w:rsidRPr="00E116B6" w:rsidR="00844676">
        <w:rPr>
          <w:lang w:val="en-GB"/>
        </w:rPr>
        <w:t xml:space="preserve"> and disturb him</w:t>
      </w:r>
      <w:r w:rsidRPr="00E116B6" w:rsidR="001C1417">
        <w:rPr>
          <w:lang w:val="en-GB"/>
        </w:rPr>
        <w:t xml:space="preserve">. </w:t>
      </w:r>
      <w:r w:rsidRPr="00E116B6" w:rsidR="00BC65EB">
        <w:rPr>
          <w:lang w:val="en-GB"/>
        </w:rPr>
        <w:t>T</w:t>
      </w:r>
      <w:r w:rsidRPr="00E116B6" w:rsidR="001C1417">
        <w:rPr>
          <w:lang w:val="en-GB"/>
        </w:rPr>
        <w:t xml:space="preserve">he first applicant had </w:t>
      </w:r>
      <w:r w:rsidRPr="00E116B6" w:rsidR="00844676">
        <w:rPr>
          <w:lang w:val="en-GB"/>
        </w:rPr>
        <w:t xml:space="preserve">given </w:t>
      </w:r>
      <w:r w:rsidRPr="00E116B6" w:rsidR="00BC65EB">
        <w:rPr>
          <w:lang w:val="en-GB"/>
        </w:rPr>
        <w:t>the human right</w:t>
      </w:r>
      <w:r w:rsidRPr="00E116B6" w:rsidR="00844676">
        <w:rPr>
          <w:lang w:val="en-GB"/>
        </w:rPr>
        <w:t>s</w:t>
      </w:r>
      <w:r w:rsidRPr="00E116B6" w:rsidR="00BC65EB">
        <w:rPr>
          <w:lang w:val="en-GB"/>
        </w:rPr>
        <w:t xml:space="preserve"> activist </w:t>
      </w:r>
      <w:r w:rsidRPr="00E116B6" w:rsidR="00844676">
        <w:rPr>
          <w:lang w:val="en-GB"/>
        </w:rPr>
        <w:t xml:space="preserve">the name of </w:t>
      </w:r>
      <w:r w:rsidRPr="00E116B6" w:rsidR="001C1417">
        <w:rPr>
          <w:lang w:val="en-GB"/>
        </w:rPr>
        <w:t xml:space="preserve">a </w:t>
      </w:r>
      <w:r w:rsidRPr="00E116B6" w:rsidR="00844676">
        <w:rPr>
          <w:lang w:val="en-GB"/>
        </w:rPr>
        <w:t xml:space="preserve">police officer, a </w:t>
      </w:r>
      <w:r w:rsidRPr="00E116B6" w:rsidR="001C1417">
        <w:rPr>
          <w:lang w:val="en-GB"/>
        </w:rPr>
        <w:t>certain K</w:t>
      </w:r>
      <w:r w:rsidRPr="00E116B6" w:rsidR="00A16722">
        <w:rPr>
          <w:lang w:val="en-GB"/>
        </w:rPr>
        <w:t>.</w:t>
      </w:r>
      <w:r w:rsidRPr="00E116B6" w:rsidR="00BC65EB">
        <w:rPr>
          <w:lang w:val="en-GB"/>
        </w:rPr>
        <w:t>,</w:t>
      </w:r>
      <w:r w:rsidRPr="00E116B6" w:rsidR="001C1417">
        <w:rPr>
          <w:lang w:val="en-GB"/>
        </w:rPr>
        <w:t xml:space="preserve"> </w:t>
      </w:r>
      <w:r w:rsidRPr="00E116B6" w:rsidR="00A328D5">
        <w:rPr>
          <w:lang w:val="en-GB"/>
        </w:rPr>
        <w:t xml:space="preserve">saying he had been </w:t>
      </w:r>
      <w:r w:rsidRPr="00E116B6" w:rsidR="001C1417">
        <w:rPr>
          <w:lang w:val="en-GB"/>
        </w:rPr>
        <w:t>one of th</w:t>
      </w:r>
      <w:r w:rsidRPr="00E116B6" w:rsidR="00844676">
        <w:rPr>
          <w:lang w:val="en-GB"/>
        </w:rPr>
        <w:t>e</w:t>
      </w:r>
      <w:r w:rsidRPr="00E116B6" w:rsidR="001C1417">
        <w:rPr>
          <w:lang w:val="en-GB"/>
        </w:rPr>
        <w:t xml:space="preserve"> </w:t>
      </w:r>
      <w:r w:rsidRPr="00E116B6" w:rsidR="00844676">
        <w:rPr>
          <w:lang w:val="en-GB"/>
        </w:rPr>
        <w:t xml:space="preserve">men </w:t>
      </w:r>
      <w:r w:rsidRPr="00E116B6" w:rsidR="001C1417">
        <w:rPr>
          <w:lang w:val="en-GB"/>
        </w:rPr>
        <w:t xml:space="preserve">who had </w:t>
      </w:r>
      <w:r w:rsidRPr="00E116B6" w:rsidR="00BC65EB">
        <w:rPr>
          <w:lang w:val="en-GB"/>
        </w:rPr>
        <w:t>tortured</w:t>
      </w:r>
      <w:r w:rsidRPr="00E116B6" w:rsidR="001C1417">
        <w:rPr>
          <w:lang w:val="en-GB"/>
        </w:rPr>
        <w:t xml:space="preserve"> him </w:t>
      </w:r>
      <w:r w:rsidRPr="00E116B6" w:rsidR="006555F4">
        <w:rPr>
          <w:lang w:val="en-GB"/>
        </w:rPr>
        <w:t xml:space="preserve">on </w:t>
      </w:r>
      <w:r w:rsidRPr="00E116B6" w:rsidR="001C1417">
        <w:rPr>
          <w:lang w:val="en-GB"/>
        </w:rPr>
        <w:t>13 May 2004</w:t>
      </w:r>
      <w:r w:rsidRPr="00E116B6" w:rsidR="00BC65EB">
        <w:rPr>
          <w:lang w:val="en-GB"/>
        </w:rPr>
        <w:t xml:space="preserve"> </w:t>
      </w:r>
      <w:r w:rsidRPr="00E116B6" w:rsidR="00844676">
        <w:rPr>
          <w:lang w:val="en-GB"/>
        </w:rPr>
        <w:t>at</w:t>
      </w:r>
      <w:r w:rsidRPr="00E116B6" w:rsidR="00BC65EB">
        <w:rPr>
          <w:lang w:val="en-GB"/>
        </w:rPr>
        <w:t xml:space="preserve"> Tbilisi main police station</w:t>
      </w:r>
      <w:r w:rsidRPr="00E116B6" w:rsidR="001C1417">
        <w:rPr>
          <w:lang w:val="en-GB"/>
        </w:rPr>
        <w:t xml:space="preserve">. She had </w:t>
      </w:r>
      <w:r w:rsidRPr="00E116B6" w:rsidR="00BC65EB">
        <w:rPr>
          <w:lang w:val="en-GB"/>
        </w:rPr>
        <w:t xml:space="preserve">immediately </w:t>
      </w:r>
      <w:r w:rsidRPr="00E116B6" w:rsidR="001C1417">
        <w:rPr>
          <w:lang w:val="en-GB"/>
        </w:rPr>
        <w:t>informed the Ministry of the Interior and the Chief Prosecutor</w:t>
      </w:r>
      <w:r w:rsidRPr="00E116B6" w:rsidR="00E116B6">
        <w:rPr>
          <w:lang w:val="en-GB"/>
        </w:rPr>
        <w:t>’</w:t>
      </w:r>
      <w:r w:rsidRPr="00E116B6" w:rsidR="001C1417">
        <w:rPr>
          <w:lang w:val="en-GB"/>
        </w:rPr>
        <w:t>s Office</w:t>
      </w:r>
      <w:r w:rsidRPr="00E116B6" w:rsidR="00BC65EB">
        <w:rPr>
          <w:lang w:val="en-GB"/>
        </w:rPr>
        <w:t xml:space="preserve"> of the applicant</w:t>
      </w:r>
      <w:r w:rsidRPr="00E116B6" w:rsidR="00E116B6">
        <w:rPr>
          <w:lang w:val="en-GB"/>
        </w:rPr>
        <w:t>’</w:t>
      </w:r>
      <w:r w:rsidRPr="00E116B6" w:rsidR="00BC65EB">
        <w:rPr>
          <w:lang w:val="en-GB"/>
        </w:rPr>
        <w:t>s allegations</w:t>
      </w:r>
      <w:r w:rsidRPr="00E116B6" w:rsidR="001C1417">
        <w:rPr>
          <w:lang w:val="en-GB"/>
        </w:rPr>
        <w:t xml:space="preserve">, </w:t>
      </w:r>
      <w:r w:rsidRPr="00E116B6" w:rsidR="00844676">
        <w:rPr>
          <w:lang w:val="en-GB"/>
        </w:rPr>
        <w:t xml:space="preserve">but </w:t>
      </w:r>
      <w:r w:rsidRPr="00E116B6" w:rsidR="001C1417">
        <w:rPr>
          <w:lang w:val="en-GB"/>
        </w:rPr>
        <w:t xml:space="preserve">neither of </w:t>
      </w:r>
      <w:r w:rsidRPr="00E116B6" w:rsidR="00844676">
        <w:rPr>
          <w:lang w:val="en-GB"/>
        </w:rPr>
        <w:t xml:space="preserve">them </w:t>
      </w:r>
      <w:r w:rsidRPr="00E116B6" w:rsidR="001C1417">
        <w:rPr>
          <w:lang w:val="en-GB"/>
        </w:rPr>
        <w:t>had reacted.</w:t>
      </w:r>
    </w:p>
    <w:bookmarkStart w:name="victimsbribe2" w:id="36"/>
    <w:p w:rsidRPr="00E116B6" w:rsidR="0067636A" w:rsidP="00E116B6" w:rsidRDefault="00FD31A2">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70</w:t>
      </w:r>
      <w:r w:rsidRPr="00E116B6">
        <w:rPr>
          <w:lang w:val="en-GB"/>
        </w:rPr>
        <w:fldChar w:fldCharType="end"/>
      </w:r>
      <w:bookmarkEnd w:id="36"/>
      <w:r w:rsidRPr="00E116B6" w:rsidR="00BC65EB">
        <w:rPr>
          <w:lang w:val="en-GB"/>
        </w:rPr>
        <w:t>.  </w:t>
      </w:r>
      <w:r w:rsidRPr="00E116B6" w:rsidR="00844676">
        <w:rPr>
          <w:lang w:val="en-GB"/>
        </w:rPr>
        <w:t>T</w:t>
      </w:r>
      <w:r w:rsidRPr="00E116B6" w:rsidR="00BC65EB">
        <w:rPr>
          <w:lang w:val="en-GB"/>
        </w:rPr>
        <w:t>he first applicant</w:t>
      </w:r>
      <w:r w:rsidRPr="00E116B6" w:rsidR="00E116B6">
        <w:rPr>
          <w:lang w:val="en-GB"/>
        </w:rPr>
        <w:t>’</w:t>
      </w:r>
      <w:r w:rsidRPr="00E116B6" w:rsidR="00BC65EB">
        <w:rPr>
          <w:lang w:val="en-GB"/>
        </w:rPr>
        <w:t xml:space="preserve">s wife </w:t>
      </w:r>
      <w:r w:rsidRPr="00E116B6" w:rsidR="00844676">
        <w:rPr>
          <w:lang w:val="en-GB"/>
        </w:rPr>
        <w:t xml:space="preserve">told the court </w:t>
      </w:r>
      <w:r w:rsidRPr="00E116B6" w:rsidR="00BC65EB">
        <w:rPr>
          <w:lang w:val="en-GB"/>
        </w:rPr>
        <w:t>that she had visited her husband in pris</w:t>
      </w:r>
      <w:r w:rsidRPr="00E116B6" w:rsidR="006555F4">
        <w:rPr>
          <w:lang w:val="en-GB"/>
        </w:rPr>
        <w:t xml:space="preserve">on on </w:t>
      </w:r>
      <w:r w:rsidRPr="00E116B6" w:rsidR="00BC65EB">
        <w:rPr>
          <w:lang w:val="en-GB"/>
        </w:rPr>
        <w:t xml:space="preserve">2 June 2004. </w:t>
      </w:r>
      <w:r w:rsidRPr="00E116B6" w:rsidR="00844676">
        <w:rPr>
          <w:lang w:val="en-GB"/>
        </w:rPr>
        <w:t>S</w:t>
      </w:r>
      <w:r w:rsidRPr="00E116B6" w:rsidR="00BC65EB">
        <w:rPr>
          <w:lang w:val="en-GB"/>
        </w:rPr>
        <w:t xml:space="preserve">he had been able to see </w:t>
      </w:r>
      <w:r w:rsidRPr="00E116B6" w:rsidR="00844676">
        <w:rPr>
          <w:lang w:val="en-GB"/>
        </w:rPr>
        <w:t xml:space="preserve">through the glass between them </w:t>
      </w:r>
      <w:r w:rsidRPr="00E116B6" w:rsidR="00BC65EB">
        <w:rPr>
          <w:lang w:val="en-GB"/>
        </w:rPr>
        <w:t>that he was wearing a woo</w:t>
      </w:r>
      <w:r w:rsidRPr="00E116B6" w:rsidR="00844676">
        <w:rPr>
          <w:lang w:val="en-GB"/>
        </w:rPr>
        <w:t>l</w:t>
      </w:r>
      <w:r w:rsidRPr="00E116B6" w:rsidR="00BC65EB">
        <w:rPr>
          <w:lang w:val="en-GB"/>
        </w:rPr>
        <w:t>len hat, under which a plaster was visible. He had had dark circles under his eyes and his nails were blackened. She also confirmed the facts relating to her meetings with the parliamentarian</w:t>
      </w:r>
      <w:r w:rsidRPr="00E116B6" w:rsidR="00E116B6">
        <w:rPr>
          <w:lang w:val="en-GB"/>
        </w:rPr>
        <w:t>’</w:t>
      </w:r>
      <w:r w:rsidRPr="00E116B6" w:rsidR="00BC65EB">
        <w:rPr>
          <w:lang w:val="en-GB"/>
        </w:rPr>
        <w:t>s lawyer</w:t>
      </w:r>
      <w:r w:rsidRPr="00E116B6" w:rsidR="0067636A">
        <w:rPr>
          <w:lang w:val="en-GB"/>
        </w:rPr>
        <w:t>.</w:t>
      </w:r>
    </w:p>
    <w:bookmarkStart w:name="playingofvideo" w:id="37"/>
    <w:p w:rsidRPr="00E116B6" w:rsidR="00BC65EB" w:rsidP="00E116B6" w:rsidRDefault="00FD31A2">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71</w:t>
      </w:r>
      <w:r w:rsidRPr="00E116B6">
        <w:rPr>
          <w:lang w:val="en-GB"/>
        </w:rPr>
        <w:fldChar w:fldCharType="end"/>
      </w:r>
      <w:bookmarkEnd w:id="37"/>
      <w:r w:rsidRPr="00E116B6" w:rsidR="0067636A">
        <w:rPr>
          <w:lang w:val="en-GB"/>
        </w:rPr>
        <w:t>.  </w:t>
      </w:r>
      <w:r w:rsidRPr="00E116B6" w:rsidR="00FC0CEF">
        <w:rPr>
          <w:lang w:val="en-GB"/>
        </w:rPr>
        <w:t>On applicati</w:t>
      </w:r>
      <w:r w:rsidRPr="00E116B6" w:rsidR="006555F4">
        <w:rPr>
          <w:lang w:val="en-GB"/>
        </w:rPr>
        <w:t xml:space="preserve">on </w:t>
      </w:r>
      <w:r w:rsidRPr="00E116B6" w:rsidR="00FC0CEF">
        <w:rPr>
          <w:lang w:val="en-GB"/>
        </w:rPr>
        <w:t xml:space="preserve">by </w:t>
      </w:r>
      <w:r w:rsidRPr="00E116B6" w:rsidR="00673D65">
        <w:rPr>
          <w:lang w:val="en-GB"/>
        </w:rPr>
        <w:t>the defence, the secret recordings of the two meetings between the first applicant</w:t>
      </w:r>
      <w:r w:rsidRPr="00E116B6" w:rsidR="00E116B6">
        <w:rPr>
          <w:lang w:val="en-GB"/>
        </w:rPr>
        <w:t>’</w:t>
      </w:r>
      <w:r w:rsidRPr="00E116B6" w:rsidR="00673D65">
        <w:rPr>
          <w:lang w:val="en-GB"/>
        </w:rPr>
        <w:t>s wife and the victim</w:t>
      </w:r>
      <w:r w:rsidRPr="00E116B6" w:rsidR="00E116B6">
        <w:rPr>
          <w:lang w:val="en-GB"/>
        </w:rPr>
        <w:t>’</w:t>
      </w:r>
      <w:r w:rsidRPr="00E116B6" w:rsidR="00673D65">
        <w:rPr>
          <w:lang w:val="en-GB"/>
        </w:rPr>
        <w:t xml:space="preserve">s lawyer </w:t>
      </w:r>
      <w:r w:rsidRPr="00E116B6" w:rsidR="00844676">
        <w:rPr>
          <w:lang w:val="en-GB"/>
        </w:rPr>
        <w:t xml:space="preserve">were </w:t>
      </w:r>
      <w:r w:rsidRPr="00E116B6" w:rsidR="00673D65">
        <w:rPr>
          <w:lang w:val="en-GB"/>
        </w:rPr>
        <w:t xml:space="preserve">played to the trial court </w:t>
      </w:r>
      <w:r w:rsidRPr="00E116B6" w:rsidR="00BC65EB">
        <w:rPr>
          <w:lang w:val="en-GB"/>
        </w:rPr>
        <w:t>(see details of the journalistic in</w:t>
      </w:r>
      <w:r w:rsidRPr="00E116B6" w:rsidR="00FC0CEF">
        <w:rPr>
          <w:lang w:val="en-GB"/>
        </w:rPr>
        <w:t>vestigati</w:t>
      </w:r>
      <w:r w:rsidRPr="00E116B6" w:rsidR="006555F4">
        <w:rPr>
          <w:lang w:val="en-GB"/>
        </w:rPr>
        <w:t xml:space="preserve">on </w:t>
      </w:r>
      <w:r w:rsidRPr="00E116B6" w:rsidR="002A6748">
        <w:rPr>
          <w:lang w:val="en-GB"/>
        </w:rPr>
        <w:t>at paragraphs</w:t>
      </w:r>
      <w:r w:rsidRPr="00E116B6" w:rsidR="008D1F87">
        <w:rPr>
          <w:lang w:val="en-GB"/>
        </w:rPr>
        <w:t> </w:t>
      </w:r>
      <w:r w:rsidRPr="00E116B6" w:rsidR="002A6748">
        <w:rPr>
          <w:lang w:val="en-GB"/>
        </w:rPr>
        <w:fldChar w:fldCharType="begin"/>
      </w:r>
      <w:r w:rsidRPr="00E116B6" w:rsidR="002A6748">
        <w:rPr>
          <w:lang w:val="en-GB"/>
        </w:rPr>
        <w:instrText xml:space="preserve"> REF journalisticstart \h </w:instrText>
      </w:r>
      <w:r w:rsidRPr="00E116B6" w:rsidR="002A6748">
        <w:rPr>
          <w:lang w:val="en-GB"/>
        </w:rPr>
      </w:r>
      <w:r w:rsidRPr="00E116B6" w:rsidR="002A6748">
        <w:rPr>
          <w:lang w:val="en-GB"/>
        </w:rPr>
        <w:fldChar w:fldCharType="separate"/>
      </w:r>
      <w:r w:rsidRPr="00E116B6" w:rsidR="00E116B6">
        <w:rPr>
          <w:noProof/>
          <w:lang w:val="en-GB"/>
        </w:rPr>
        <w:t>83</w:t>
      </w:r>
      <w:r w:rsidRPr="00E116B6" w:rsidR="002A6748">
        <w:rPr>
          <w:lang w:val="en-GB"/>
        </w:rPr>
        <w:fldChar w:fldCharType="end"/>
      </w:r>
      <w:r w:rsidRPr="00E116B6" w:rsidR="008D1F87">
        <w:rPr>
          <w:lang w:val="en-GB"/>
        </w:rPr>
        <w:noBreakHyphen/>
      </w:r>
      <w:r w:rsidRPr="00E116B6" w:rsidR="002A6748">
        <w:rPr>
          <w:lang w:val="en-GB"/>
        </w:rPr>
        <w:fldChar w:fldCharType="begin"/>
      </w:r>
      <w:r w:rsidRPr="00E116B6" w:rsidR="002A6748">
        <w:rPr>
          <w:lang w:val="en-GB"/>
        </w:rPr>
        <w:instrText xml:space="preserve"> REF journalisticfinish \h </w:instrText>
      </w:r>
      <w:r w:rsidRPr="00E116B6" w:rsidR="002A6748">
        <w:rPr>
          <w:lang w:val="en-GB"/>
        </w:rPr>
      </w:r>
      <w:r w:rsidRPr="00E116B6" w:rsidR="002A6748">
        <w:rPr>
          <w:lang w:val="en-GB"/>
        </w:rPr>
        <w:fldChar w:fldCharType="separate"/>
      </w:r>
      <w:r w:rsidRPr="00E116B6" w:rsidR="00E116B6">
        <w:rPr>
          <w:noProof/>
          <w:lang w:val="en-GB"/>
        </w:rPr>
        <w:t>85</w:t>
      </w:r>
      <w:r w:rsidRPr="00E116B6" w:rsidR="002A6748">
        <w:rPr>
          <w:lang w:val="en-GB"/>
        </w:rPr>
        <w:fldChar w:fldCharType="end"/>
      </w:r>
      <w:r w:rsidRPr="00E116B6" w:rsidR="002A6748">
        <w:rPr>
          <w:lang w:val="en-GB"/>
        </w:rPr>
        <w:t xml:space="preserve"> </w:t>
      </w:r>
      <w:r w:rsidRPr="00E116B6" w:rsidR="00BC65EB">
        <w:rPr>
          <w:lang w:val="en-GB"/>
        </w:rPr>
        <w:t>below).</w:t>
      </w:r>
    </w:p>
    <w:p w:rsidRPr="00E116B6" w:rsidR="00BC65EB" w:rsidP="00E116B6" w:rsidRDefault="006555F4">
      <w:pPr>
        <w:pStyle w:val="ECHRHeading2"/>
        <w:rPr>
          <w:lang w:val="en-GB"/>
        </w:rPr>
      </w:pPr>
      <w:r w:rsidRPr="00E116B6">
        <w:rPr>
          <w:lang w:val="en-GB"/>
        </w:rPr>
        <w:t>E.  </w:t>
      </w:r>
      <w:r w:rsidRPr="00E116B6" w:rsidR="00BC65EB">
        <w:rPr>
          <w:lang w:val="en-GB"/>
        </w:rPr>
        <w:t>The applicants</w:t>
      </w:r>
      <w:r w:rsidRPr="00E116B6" w:rsidR="00E116B6">
        <w:rPr>
          <w:lang w:val="en-GB"/>
        </w:rPr>
        <w:t>’</w:t>
      </w:r>
      <w:r w:rsidRPr="00E116B6" w:rsidR="00BC65EB">
        <w:rPr>
          <w:lang w:val="en-GB"/>
        </w:rPr>
        <w:t xml:space="preserve"> conviction</w:t>
      </w:r>
    </w:p>
    <w:bookmarkStart w:name="evidences1" w:id="38"/>
    <w:p w:rsidRPr="00E116B6" w:rsidR="00AC1180" w:rsidP="00E116B6" w:rsidRDefault="004C4CF3">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72</w:t>
      </w:r>
      <w:r w:rsidRPr="00E116B6">
        <w:rPr>
          <w:lang w:val="en-GB"/>
        </w:rPr>
        <w:fldChar w:fldCharType="end"/>
      </w:r>
      <w:bookmarkEnd w:id="38"/>
      <w:r w:rsidRPr="00E116B6" w:rsidR="00BC65EB">
        <w:rPr>
          <w:lang w:val="en-GB"/>
        </w:rPr>
        <w:t>.  </w:t>
      </w:r>
      <w:r w:rsidRPr="00E116B6" w:rsidR="00E94C59">
        <w:rPr>
          <w:lang w:val="en-GB"/>
        </w:rPr>
        <w:t>On 2</w:t>
      </w:r>
      <w:r w:rsidRPr="00E116B6" w:rsidR="00601D33">
        <w:rPr>
          <w:lang w:val="en-GB"/>
        </w:rPr>
        <w:t>1</w:t>
      </w:r>
      <w:r w:rsidRPr="00E116B6" w:rsidR="00E94C59">
        <w:rPr>
          <w:lang w:val="en-GB"/>
        </w:rPr>
        <w:t xml:space="preserve"> February 2007 the Tbilisi Regional Court</w:t>
      </w:r>
      <w:r w:rsidRPr="00E116B6" w:rsidR="00570824">
        <w:rPr>
          <w:lang w:val="en-GB"/>
        </w:rPr>
        <w:t xml:space="preserve"> </w:t>
      </w:r>
      <w:r w:rsidRPr="00E116B6" w:rsidR="00601D33">
        <w:rPr>
          <w:lang w:val="en-GB"/>
        </w:rPr>
        <w:t>ruled</w:t>
      </w:r>
      <w:r w:rsidRPr="00E116B6" w:rsidR="00570824">
        <w:rPr>
          <w:lang w:val="en-GB"/>
        </w:rPr>
        <w:t xml:space="preserve"> </w:t>
      </w:r>
      <w:r w:rsidRPr="00E116B6" w:rsidR="00E94C59">
        <w:rPr>
          <w:lang w:val="en-GB"/>
        </w:rPr>
        <w:t>that the following pieces of evidence were inadmissible</w:t>
      </w:r>
      <w:r w:rsidRPr="00E116B6" w:rsidR="0067636A">
        <w:rPr>
          <w:lang w:val="en-GB"/>
        </w:rPr>
        <w:t xml:space="preserve"> </w:t>
      </w:r>
      <w:r w:rsidRPr="00E116B6" w:rsidR="00844676">
        <w:rPr>
          <w:lang w:val="en-GB"/>
        </w:rPr>
        <w:t xml:space="preserve">owing to significant procedural shortcomings in the way they had </w:t>
      </w:r>
      <w:r w:rsidRPr="00E116B6" w:rsidR="0067636A">
        <w:rPr>
          <w:lang w:val="en-GB"/>
        </w:rPr>
        <w:t>been obtained</w:t>
      </w:r>
      <w:r w:rsidRPr="00E116B6" w:rsidR="00E94C59">
        <w:rPr>
          <w:lang w:val="en-GB"/>
        </w:rPr>
        <w:t>:</w:t>
      </w:r>
    </w:p>
    <w:p w:rsidRPr="00E116B6" w:rsidR="008D0DD8" w:rsidP="00E116B6" w:rsidRDefault="006555F4">
      <w:pPr>
        <w:pStyle w:val="ECHRPara"/>
        <w:rPr>
          <w:lang w:val="en-GB"/>
        </w:rPr>
      </w:pPr>
      <w:r w:rsidRPr="00E116B6">
        <w:rPr>
          <w:lang w:val="en-GB"/>
        </w:rPr>
        <w:t>(i)  </w:t>
      </w:r>
      <w:r w:rsidRPr="00E116B6" w:rsidR="00E94C59">
        <w:rPr>
          <w:lang w:val="en-GB"/>
        </w:rPr>
        <w:t xml:space="preserve">the </w:t>
      </w:r>
      <w:r w:rsidRPr="00E116B6" w:rsidR="006C32B0">
        <w:rPr>
          <w:lang w:val="en-GB"/>
        </w:rPr>
        <w:t>first applicant</w:t>
      </w:r>
      <w:r w:rsidRPr="00E116B6" w:rsidR="00E116B6">
        <w:rPr>
          <w:lang w:val="en-GB"/>
        </w:rPr>
        <w:t>’</w:t>
      </w:r>
      <w:r w:rsidRPr="00E116B6" w:rsidR="006C32B0">
        <w:rPr>
          <w:lang w:val="en-GB"/>
        </w:rPr>
        <w:t xml:space="preserve">s </w:t>
      </w:r>
      <w:r w:rsidRPr="00E116B6" w:rsidR="00E94C59">
        <w:rPr>
          <w:lang w:val="en-GB"/>
        </w:rPr>
        <w:t>confessi</w:t>
      </w:r>
      <w:r w:rsidRPr="00E116B6">
        <w:rPr>
          <w:lang w:val="en-GB"/>
        </w:rPr>
        <w:t xml:space="preserve">on </w:t>
      </w:r>
      <w:r w:rsidRPr="00E116B6" w:rsidR="006C32B0">
        <w:rPr>
          <w:lang w:val="en-GB"/>
        </w:rPr>
        <w:t xml:space="preserve">at </w:t>
      </w:r>
      <w:r w:rsidRPr="00E116B6" w:rsidR="00E94C59">
        <w:rPr>
          <w:lang w:val="en-GB"/>
        </w:rPr>
        <w:t xml:space="preserve">his first interview </w:t>
      </w:r>
      <w:r w:rsidRPr="00E116B6">
        <w:rPr>
          <w:lang w:val="en-GB"/>
        </w:rPr>
        <w:t xml:space="preserve">on </w:t>
      </w:r>
      <w:r w:rsidRPr="00E116B6" w:rsidR="00E94C59">
        <w:rPr>
          <w:lang w:val="en-GB"/>
        </w:rPr>
        <w:t>13 May 2004 (see paragraph</w:t>
      </w:r>
      <w:r w:rsidRPr="00E116B6" w:rsidR="00406014">
        <w:rPr>
          <w:lang w:val="en-GB"/>
        </w:rPr>
        <w:t>s</w:t>
      </w:r>
      <w:r w:rsidRPr="00E116B6" w:rsidR="002A6748">
        <w:rPr>
          <w:lang w:val="en-GB"/>
        </w:rPr>
        <w:t xml:space="preserve"> </w:t>
      </w:r>
      <w:r w:rsidRPr="00E116B6" w:rsidR="002A6748">
        <w:rPr>
          <w:lang w:val="en-GB"/>
        </w:rPr>
        <w:fldChar w:fldCharType="begin"/>
      </w:r>
      <w:r w:rsidRPr="00E116B6" w:rsidR="002A6748">
        <w:rPr>
          <w:lang w:val="en-GB"/>
        </w:rPr>
        <w:instrText xml:space="preserve"> REF confession1 \h </w:instrText>
      </w:r>
      <w:r w:rsidRPr="00E116B6" w:rsidR="002A6748">
        <w:rPr>
          <w:lang w:val="en-GB"/>
        </w:rPr>
      </w:r>
      <w:r w:rsidRPr="00E116B6" w:rsidR="002A6748">
        <w:rPr>
          <w:lang w:val="en-GB"/>
        </w:rPr>
        <w:fldChar w:fldCharType="separate"/>
      </w:r>
      <w:r w:rsidRPr="00E116B6" w:rsidR="00E116B6">
        <w:rPr>
          <w:noProof/>
          <w:lang w:val="en-GB"/>
        </w:rPr>
        <w:t>10</w:t>
      </w:r>
      <w:r w:rsidRPr="00E116B6" w:rsidR="002A6748">
        <w:rPr>
          <w:lang w:val="en-GB"/>
        </w:rPr>
        <w:fldChar w:fldCharType="end"/>
      </w:r>
      <w:r w:rsidRPr="00E116B6" w:rsidR="002A6748">
        <w:rPr>
          <w:lang w:val="en-GB"/>
        </w:rPr>
        <w:t xml:space="preserve"> and </w:t>
      </w:r>
      <w:r w:rsidRPr="00E116B6" w:rsidR="002A6748">
        <w:rPr>
          <w:lang w:val="en-GB"/>
        </w:rPr>
        <w:fldChar w:fldCharType="begin"/>
      </w:r>
      <w:r w:rsidRPr="00E116B6" w:rsidR="002A6748">
        <w:rPr>
          <w:lang w:val="en-GB"/>
        </w:rPr>
        <w:instrText xml:space="preserve"> REF confession2 \h </w:instrText>
      </w:r>
      <w:r w:rsidRPr="00E116B6" w:rsidR="002A6748">
        <w:rPr>
          <w:lang w:val="en-GB"/>
        </w:rPr>
      </w:r>
      <w:r w:rsidRPr="00E116B6" w:rsidR="002A6748">
        <w:rPr>
          <w:lang w:val="en-GB"/>
        </w:rPr>
        <w:fldChar w:fldCharType="separate"/>
      </w:r>
      <w:r w:rsidRPr="00E116B6" w:rsidR="00E116B6">
        <w:rPr>
          <w:noProof/>
          <w:lang w:val="en-GB"/>
        </w:rPr>
        <w:t>11</w:t>
      </w:r>
      <w:r w:rsidRPr="00E116B6" w:rsidR="002A6748">
        <w:rPr>
          <w:lang w:val="en-GB"/>
        </w:rPr>
        <w:fldChar w:fldCharType="end"/>
      </w:r>
      <w:r w:rsidRPr="00E116B6" w:rsidR="002A6748">
        <w:rPr>
          <w:lang w:val="en-GB"/>
        </w:rPr>
        <w:t xml:space="preserve"> </w:t>
      </w:r>
      <w:r w:rsidRPr="00E116B6" w:rsidR="00E94C59">
        <w:rPr>
          <w:lang w:val="en-GB"/>
        </w:rPr>
        <w:t>above)</w:t>
      </w:r>
      <w:r w:rsidRPr="00E116B6" w:rsidR="008D0DD8">
        <w:rPr>
          <w:lang w:val="en-GB"/>
        </w:rPr>
        <w:t>;</w:t>
      </w:r>
    </w:p>
    <w:p w:rsidRPr="00E116B6" w:rsidR="008D0DD8" w:rsidP="00E116B6" w:rsidRDefault="008D0DD8">
      <w:pPr>
        <w:pStyle w:val="ECHRPara"/>
        <w:rPr>
          <w:lang w:val="en-GB"/>
        </w:rPr>
      </w:pPr>
      <w:r w:rsidRPr="00E116B6">
        <w:rPr>
          <w:lang w:val="en-GB"/>
        </w:rPr>
        <w:t>(ii)</w:t>
      </w:r>
      <w:r w:rsidRPr="00E116B6" w:rsidR="006555F4">
        <w:rPr>
          <w:lang w:val="en-GB"/>
        </w:rPr>
        <w:t>  </w:t>
      </w:r>
      <w:r w:rsidRPr="00E116B6" w:rsidR="00E94C59">
        <w:rPr>
          <w:lang w:val="en-GB"/>
        </w:rPr>
        <w:t xml:space="preserve">the record </w:t>
      </w:r>
      <w:r w:rsidRPr="00E116B6" w:rsidR="006C32B0">
        <w:rPr>
          <w:lang w:val="en-GB"/>
        </w:rPr>
        <w:t xml:space="preserve">of </w:t>
      </w:r>
      <w:r w:rsidRPr="00E116B6" w:rsidR="00E94C59">
        <w:rPr>
          <w:lang w:val="en-GB"/>
        </w:rPr>
        <w:t xml:space="preserve">25 February 2004 of the </w:t>
      </w:r>
      <w:r w:rsidRPr="00E116B6" w:rsidR="006C32B0">
        <w:rPr>
          <w:lang w:val="en-GB"/>
        </w:rPr>
        <w:t>woman and her s</w:t>
      </w:r>
      <w:r w:rsidRPr="00E116B6" w:rsidR="006555F4">
        <w:rPr>
          <w:lang w:val="en-GB"/>
        </w:rPr>
        <w:t xml:space="preserve">on </w:t>
      </w:r>
      <w:r w:rsidRPr="00E116B6" w:rsidR="006C32B0">
        <w:rPr>
          <w:lang w:val="en-GB"/>
        </w:rPr>
        <w:t xml:space="preserve">handing in </w:t>
      </w:r>
      <w:r w:rsidRPr="00E116B6" w:rsidR="00E94C59">
        <w:rPr>
          <w:lang w:val="en-GB"/>
        </w:rPr>
        <w:t xml:space="preserve">the </w:t>
      </w:r>
      <w:r w:rsidRPr="00E116B6" w:rsidR="0067636A">
        <w:rPr>
          <w:lang w:val="en-GB"/>
        </w:rPr>
        <w:t xml:space="preserve">PSM </w:t>
      </w:r>
      <w:r w:rsidRPr="00E116B6" w:rsidR="006C32B0">
        <w:rPr>
          <w:lang w:val="en-GB"/>
        </w:rPr>
        <w:t xml:space="preserve">pistol </w:t>
      </w:r>
      <w:r w:rsidRPr="00E116B6" w:rsidR="00E94C59">
        <w:rPr>
          <w:lang w:val="en-GB"/>
        </w:rPr>
        <w:t>at the police stati</w:t>
      </w:r>
      <w:r w:rsidRPr="00E116B6" w:rsidR="006555F4">
        <w:rPr>
          <w:lang w:val="en-GB"/>
        </w:rPr>
        <w:t xml:space="preserve">on </w:t>
      </w:r>
      <w:r w:rsidRPr="00E116B6" w:rsidR="00E94C59">
        <w:rPr>
          <w:lang w:val="en-GB"/>
        </w:rPr>
        <w:t>(</w:t>
      </w:r>
      <w:r w:rsidRPr="00E116B6" w:rsidR="002A6748">
        <w:rPr>
          <w:lang w:val="en-GB"/>
        </w:rPr>
        <w:t xml:space="preserve">see paragraph </w:t>
      </w:r>
      <w:r w:rsidRPr="00E116B6" w:rsidR="002A6748">
        <w:rPr>
          <w:lang w:val="en-GB"/>
        </w:rPr>
        <w:fldChar w:fldCharType="begin"/>
      </w:r>
      <w:r w:rsidRPr="00E116B6" w:rsidR="002A6748">
        <w:rPr>
          <w:lang w:val="en-GB"/>
        </w:rPr>
        <w:instrText xml:space="preserve"> REF psm \h </w:instrText>
      </w:r>
      <w:r w:rsidRPr="00E116B6" w:rsidR="002A6748">
        <w:rPr>
          <w:lang w:val="en-GB"/>
        </w:rPr>
      </w:r>
      <w:r w:rsidRPr="00E116B6" w:rsidR="002A6748">
        <w:rPr>
          <w:lang w:val="en-GB"/>
        </w:rPr>
        <w:fldChar w:fldCharType="separate"/>
      </w:r>
      <w:r w:rsidRPr="00E116B6" w:rsidR="00E116B6">
        <w:rPr>
          <w:noProof/>
          <w:lang w:val="en-GB"/>
        </w:rPr>
        <w:t>8</w:t>
      </w:r>
      <w:r w:rsidRPr="00E116B6" w:rsidR="002A6748">
        <w:rPr>
          <w:lang w:val="en-GB"/>
        </w:rPr>
        <w:fldChar w:fldCharType="end"/>
      </w:r>
      <w:r w:rsidRPr="00E116B6" w:rsidR="002A6748">
        <w:rPr>
          <w:lang w:val="en-GB"/>
        </w:rPr>
        <w:t xml:space="preserve"> </w:t>
      </w:r>
      <w:r w:rsidRPr="00E116B6" w:rsidR="00E94C59">
        <w:rPr>
          <w:lang w:val="en-GB"/>
        </w:rPr>
        <w:t>above)</w:t>
      </w:r>
      <w:r w:rsidRPr="00E116B6">
        <w:rPr>
          <w:lang w:val="en-GB"/>
        </w:rPr>
        <w:t>;</w:t>
      </w:r>
    </w:p>
    <w:p w:rsidRPr="00E116B6" w:rsidR="00BC65EB" w:rsidP="00E116B6" w:rsidRDefault="008D0DD8">
      <w:pPr>
        <w:pStyle w:val="ECHRPara"/>
        <w:rPr>
          <w:lang w:val="en-GB"/>
        </w:rPr>
      </w:pPr>
      <w:r w:rsidRPr="00E116B6">
        <w:rPr>
          <w:lang w:val="en-GB"/>
        </w:rPr>
        <w:t>(iii)</w:t>
      </w:r>
      <w:r w:rsidRPr="00E116B6" w:rsidR="006555F4">
        <w:rPr>
          <w:lang w:val="en-GB"/>
        </w:rPr>
        <w:t>  </w:t>
      </w:r>
      <w:r w:rsidRPr="00E116B6" w:rsidR="00E94C59">
        <w:rPr>
          <w:lang w:val="en-GB"/>
        </w:rPr>
        <w:t xml:space="preserve">the record </w:t>
      </w:r>
      <w:r w:rsidRPr="00E116B6" w:rsidR="006C32B0">
        <w:rPr>
          <w:lang w:val="en-GB"/>
        </w:rPr>
        <w:t xml:space="preserve">of </w:t>
      </w:r>
      <w:r w:rsidRPr="00E116B6" w:rsidR="00E94C59">
        <w:rPr>
          <w:lang w:val="en-GB"/>
        </w:rPr>
        <w:t xml:space="preserve">13 May 2004 of the </w:t>
      </w:r>
      <w:r w:rsidRPr="00E116B6" w:rsidR="006C32B0">
        <w:rPr>
          <w:lang w:val="en-GB"/>
        </w:rPr>
        <w:t xml:space="preserve">first applicant </w:t>
      </w:r>
      <w:r w:rsidRPr="00E116B6" w:rsidR="00E94C59">
        <w:rPr>
          <w:lang w:val="en-GB"/>
        </w:rPr>
        <w:t>identif</w:t>
      </w:r>
      <w:r w:rsidRPr="00E116B6" w:rsidR="006C32B0">
        <w:rPr>
          <w:lang w:val="en-GB"/>
        </w:rPr>
        <w:t xml:space="preserve">ying </w:t>
      </w:r>
      <w:r w:rsidRPr="00E116B6" w:rsidR="00E94C59">
        <w:rPr>
          <w:lang w:val="en-GB"/>
        </w:rPr>
        <w:t>th</w:t>
      </w:r>
      <w:r w:rsidRPr="00E116B6" w:rsidR="0067636A">
        <w:rPr>
          <w:lang w:val="en-GB"/>
        </w:rPr>
        <w:t xml:space="preserve">e PSM </w:t>
      </w:r>
      <w:r w:rsidRPr="00E116B6" w:rsidR="006C32B0">
        <w:rPr>
          <w:lang w:val="en-GB"/>
        </w:rPr>
        <w:t xml:space="preserve">pistol </w:t>
      </w:r>
      <w:r w:rsidRPr="00E116B6" w:rsidR="000E6979">
        <w:rPr>
          <w:lang w:val="en-GB"/>
        </w:rPr>
        <w:t>(</w:t>
      </w:r>
      <w:r w:rsidRPr="00E116B6" w:rsidR="002A6748">
        <w:rPr>
          <w:lang w:val="en-GB"/>
        </w:rPr>
        <w:t xml:space="preserve">see paragraph </w:t>
      </w:r>
      <w:r w:rsidRPr="00E116B6" w:rsidR="002A6748">
        <w:rPr>
          <w:lang w:val="en-GB"/>
        </w:rPr>
        <w:fldChar w:fldCharType="begin"/>
      </w:r>
      <w:r w:rsidRPr="00E116B6" w:rsidR="002A6748">
        <w:rPr>
          <w:lang w:val="en-GB"/>
        </w:rPr>
        <w:instrText xml:space="preserve"> REF appidentifiespsm \h </w:instrText>
      </w:r>
      <w:r w:rsidRPr="00E116B6" w:rsidR="002A6748">
        <w:rPr>
          <w:lang w:val="en-GB"/>
        </w:rPr>
      </w:r>
      <w:r w:rsidRPr="00E116B6" w:rsidR="002A6748">
        <w:rPr>
          <w:lang w:val="en-GB"/>
        </w:rPr>
        <w:fldChar w:fldCharType="separate"/>
      </w:r>
      <w:r w:rsidRPr="00E116B6" w:rsidR="00E116B6">
        <w:rPr>
          <w:noProof/>
          <w:lang w:val="en-GB"/>
        </w:rPr>
        <w:t>14</w:t>
      </w:r>
      <w:r w:rsidRPr="00E116B6" w:rsidR="002A6748">
        <w:rPr>
          <w:lang w:val="en-GB"/>
        </w:rPr>
        <w:fldChar w:fldCharType="end"/>
      </w:r>
      <w:r w:rsidRPr="00E116B6" w:rsidR="002A6748">
        <w:rPr>
          <w:lang w:val="en-GB"/>
        </w:rPr>
        <w:t xml:space="preserve"> </w:t>
      </w:r>
      <w:r w:rsidRPr="00E116B6" w:rsidR="000E6979">
        <w:rPr>
          <w:lang w:val="en-GB"/>
        </w:rPr>
        <w:t>above)</w:t>
      </w:r>
      <w:r w:rsidRPr="00E116B6" w:rsidR="0067636A">
        <w:rPr>
          <w:lang w:val="en-GB"/>
        </w:rPr>
        <w:t>.</w:t>
      </w:r>
    </w:p>
    <w:bookmarkStart w:name="conviction" w:id="39"/>
    <w:p w:rsidRPr="00E116B6" w:rsidR="00AC1180" w:rsidP="00E116B6" w:rsidRDefault="004C4CF3">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73</w:t>
      </w:r>
      <w:r w:rsidRPr="00E116B6">
        <w:rPr>
          <w:lang w:val="en-GB"/>
        </w:rPr>
        <w:fldChar w:fldCharType="end"/>
      </w:r>
      <w:bookmarkEnd w:id="39"/>
      <w:r w:rsidRPr="00E116B6" w:rsidR="00E94C59">
        <w:rPr>
          <w:lang w:val="en-GB"/>
        </w:rPr>
        <w:t>.  </w:t>
      </w:r>
      <w:r w:rsidRPr="00E116B6" w:rsidR="005259DA">
        <w:rPr>
          <w:lang w:val="en-GB"/>
        </w:rPr>
        <w:t>On</w:t>
      </w:r>
      <w:r w:rsidRPr="00E116B6" w:rsidR="00570824">
        <w:rPr>
          <w:lang w:val="en-GB"/>
        </w:rPr>
        <w:t xml:space="preserve"> </w:t>
      </w:r>
      <w:r w:rsidRPr="00E116B6" w:rsidR="00C629BC">
        <w:rPr>
          <w:lang w:val="en-GB"/>
        </w:rPr>
        <w:t xml:space="preserve">26 February 2007 the Tbilisi Regional Court gave judgment. It first held that it was undeniable that the first applicant had </w:t>
      </w:r>
      <w:r w:rsidRPr="00E116B6" w:rsidR="00FC0CEF">
        <w:rPr>
          <w:lang w:val="en-GB"/>
        </w:rPr>
        <w:t xml:space="preserve">had </w:t>
      </w:r>
      <w:r w:rsidRPr="00E116B6" w:rsidR="006C32B0">
        <w:rPr>
          <w:lang w:val="en-GB"/>
        </w:rPr>
        <w:t xml:space="preserve">various </w:t>
      </w:r>
      <w:r w:rsidRPr="00E116B6" w:rsidR="00C629BC">
        <w:rPr>
          <w:lang w:val="en-GB"/>
        </w:rPr>
        <w:t xml:space="preserve">injuries </w:t>
      </w:r>
      <w:r w:rsidRPr="00E116B6" w:rsidR="006555F4">
        <w:rPr>
          <w:lang w:val="en-GB"/>
        </w:rPr>
        <w:t xml:space="preserve">on </w:t>
      </w:r>
      <w:r w:rsidRPr="00E116B6" w:rsidR="00C629BC">
        <w:rPr>
          <w:lang w:val="en-GB"/>
        </w:rPr>
        <w:t xml:space="preserve">his </w:t>
      </w:r>
      <w:r w:rsidRPr="00E116B6" w:rsidR="006C32B0">
        <w:rPr>
          <w:lang w:val="en-GB"/>
        </w:rPr>
        <w:t>body, as confirmed by the various expert reports</w:t>
      </w:r>
      <w:r w:rsidRPr="00E116B6" w:rsidR="00C629BC">
        <w:rPr>
          <w:lang w:val="en-GB"/>
        </w:rPr>
        <w:t xml:space="preserve">. However, the time, place or circumstances </w:t>
      </w:r>
      <w:r w:rsidRPr="00E116B6" w:rsidR="00A328D5">
        <w:rPr>
          <w:lang w:val="en-GB"/>
        </w:rPr>
        <w:t xml:space="preserve">of </w:t>
      </w:r>
      <w:r w:rsidRPr="00E116B6" w:rsidR="006C32B0">
        <w:rPr>
          <w:lang w:val="en-GB"/>
        </w:rPr>
        <w:t>sustain</w:t>
      </w:r>
      <w:r w:rsidRPr="00E116B6" w:rsidR="00A328D5">
        <w:rPr>
          <w:lang w:val="en-GB"/>
        </w:rPr>
        <w:t xml:space="preserve">ing </w:t>
      </w:r>
      <w:r w:rsidRPr="00E116B6" w:rsidR="00C629BC">
        <w:rPr>
          <w:lang w:val="en-GB"/>
        </w:rPr>
        <w:t>the injuries had not been established.</w:t>
      </w:r>
    </w:p>
    <w:p w:rsidRPr="00E116B6" w:rsidR="00AC1180" w:rsidP="00E116B6" w:rsidRDefault="004C4CF3">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74</w:t>
      </w:r>
      <w:r w:rsidRPr="00E116B6">
        <w:rPr>
          <w:lang w:val="en-GB"/>
        </w:rPr>
        <w:fldChar w:fldCharType="end"/>
      </w:r>
      <w:r w:rsidRPr="00E116B6" w:rsidR="00C629BC">
        <w:rPr>
          <w:lang w:val="en-GB"/>
        </w:rPr>
        <w:t>.  </w:t>
      </w:r>
      <w:r w:rsidRPr="00E116B6" w:rsidR="00B0785A">
        <w:rPr>
          <w:lang w:val="en-GB"/>
        </w:rPr>
        <w:t xml:space="preserve">The first applicant was found guilty of attempted murder with aggravating circumstances, </w:t>
      </w:r>
      <w:r w:rsidRPr="00E116B6" w:rsidR="006555F4">
        <w:rPr>
          <w:lang w:val="en-GB"/>
        </w:rPr>
        <w:t xml:space="preserve">on </w:t>
      </w:r>
      <w:r w:rsidRPr="00E116B6" w:rsidR="00B0785A">
        <w:rPr>
          <w:lang w:val="en-GB"/>
        </w:rPr>
        <w:t xml:space="preserve">account of his attack </w:t>
      </w:r>
      <w:r w:rsidRPr="00E116B6" w:rsidR="006555F4">
        <w:rPr>
          <w:lang w:val="en-GB"/>
        </w:rPr>
        <w:t xml:space="preserve">on </w:t>
      </w:r>
      <w:r w:rsidRPr="00E116B6" w:rsidR="00B0785A">
        <w:rPr>
          <w:lang w:val="en-GB"/>
        </w:rPr>
        <w:t xml:space="preserve">the member of parliament </w:t>
      </w:r>
      <w:r w:rsidRPr="00E116B6" w:rsidR="006555F4">
        <w:rPr>
          <w:lang w:val="en-GB"/>
        </w:rPr>
        <w:t xml:space="preserve">on </w:t>
      </w:r>
      <w:r w:rsidRPr="00E116B6" w:rsidR="00B0785A">
        <w:rPr>
          <w:lang w:val="en-GB"/>
        </w:rPr>
        <w:t>19 January 2004, and ill</w:t>
      </w:r>
      <w:r w:rsidRPr="00E116B6" w:rsidR="00FC0CEF">
        <w:rPr>
          <w:lang w:val="en-GB"/>
        </w:rPr>
        <w:t xml:space="preserve">egal </w:t>
      </w:r>
      <w:r w:rsidRPr="00E116B6" w:rsidR="00B0785A">
        <w:rPr>
          <w:lang w:val="en-GB"/>
        </w:rPr>
        <w:t>possessi</w:t>
      </w:r>
      <w:r w:rsidRPr="00E116B6" w:rsidR="006555F4">
        <w:rPr>
          <w:lang w:val="en-GB"/>
        </w:rPr>
        <w:t xml:space="preserve">on </w:t>
      </w:r>
      <w:r w:rsidRPr="00E116B6" w:rsidR="006C32B0">
        <w:rPr>
          <w:lang w:val="en-GB"/>
        </w:rPr>
        <w:t>of a weapon</w:t>
      </w:r>
      <w:r w:rsidRPr="00E116B6" w:rsidR="00F8216D">
        <w:rPr>
          <w:lang w:val="en-GB"/>
        </w:rPr>
        <w:t>,</w:t>
      </w:r>
      <w:r w:rsidRPr="00E116B6" w:rsidR="006C32B0">
        <w:rPr>
          <w:lang w:val="en-GB"/>
        </w:rPr>
        <w:t xml:space="preserve"> owing to the </w:t>
      </w:r>
      <w:r w:rsidRPr="00E116B6" w:rsidR="00B0785A">
        <w:rPr>
          <w:lang w:val="en-GB"/>
        </w:rPr>
        <w:t xml:space="preserve">Browning pistol </w:t>
      </w:r>
      <w:r w:rsidRPr="00E116B6" w:rsidR="006C32B0">
        <w:rPr>
          <w:lang w:val="en-GB"/>
        </w:rPr>
        <w:t xml:space="preserve">that </w:t>
      </w:r>
      <w:r w:rsidRPr="00E116B6" w:rsidR="00F8216D">
        <w:rPr>
          <w:lang w:val="en-GB"/>
        </w:rPr>
        <w:t xml:space="preserve">had been </w:t>
      </w:r>
      <w:r w:rsidRPr="00E116B6" w:rsidR="006C32B0">
        <w:rPr>
          <w:lang w:val="en-GB"/>
        </w:rPr>
        <w:t xml:space="preserve">found </w:t>
      </w:r>
      <w:r w:rsidRPr="00E116B6" w:rsidR="006555F4">
        <w:rPr>
          <w:lang w:val="en-GB"/>
        </w:rPr>
        <w:t xml:space="preserve">on </w:t>
      </w:r>
      <w:r w:rsidRPr="00E116B6" w:rsidR="00B0785A">
        <w:rPr>
          <w:lang w:val="en-GB"/>
        </w:rPr>
        <w:t>hi</w:t>
      </w:r>
      <w:r w:rsidRPr="00E116B6" w:rsidR="00FC0CEF">
        <w:rPr>
          <w:lang w:val="en-GB"/>
        </w:rPr>
        <w:t>m</w:t>
      </w:r>
      <w:r w:rsidRPr="00E116B6" w:rsidR="00B0785A">
        <w:rPr>
          <w:lang w:val="en-GB"/>
        </w:rPr>
        <w:t xml:space="preserve"> </w:t>
      </w:r>
      <w:r w:rsidRPr="00E116B6" w:rsidR="006C32B0">
        <w:rPr>
          <w:lang w:val="en-GB"/>
        </w:rPr>
        <w:t xml:space="preserve">when he </w:t>
      </w:r>
      <w:r w:rsidRPr="00E116B6" w:rsidR="00FC0CEF">
        <w:rPr>
          <w:lang w:val="en-GB"/>
        </w:rPr>
        <w:t xml:space="preserve">had been </w:t>
      </w:r>
      <w:r w:rsidRPr="00E116B6" w:rsidR="00B0785A">
        <w:rPr>
          <w:lang w:val="en-GB"/>
        </w:rPr>
        <w:t>arrest</w:t>
      </w:r>
      <w:r w:rsidRPr="00E116B6" w:rsidR="006C32B0">
        <w:rPr>
          <w:lang w:val="en-GB"/>
        </w:rPr>
        <w:t>ed</w:t>
      </w:r>
      <w:r w:rsidRPr="00E116B6" w:rsidR="00B0785A">
        <w:rPr>
          <w:lang w:val="en-GB"/>
        </w:rPr>
        <w:t xml:space="preserve">. </w:t>
      </w:r>
      <w:r w:rsidRPr="00E116B6" w:rsidR="006C32B0">
        <w:rPr>
          <w:lang w:val="en-GB"/>
        </w:rPr>
        <w:t>His guilt related to t</w:t>
      </w:r>
      <w:r w:rsidRPr="00E116B6" w:rsidR="00B0785A">
        <w:rPr>
          <w:lang w:val="en-GB"/>
        </w:rPr>
        <w:t xml:space="preserve">he </w:t>
      </w:r>
      <w:r w:rsidRPr="00E116B6" w:rsidR="006C32B0">
        <w:rPr>
          <w:lang w:val="en-GB"/>
        </w:rPr>
        <w:t xml:space="preserve">Browning had been </w:t>
      </w:r>
      <w:r w:rsidRPr="00E116B6" w:rsidR="00B0785A">
        <w:rPr>
          <w:lang w:val="en-GB"/>
        </w:rPr>
        <w:t xml:space="preserve">proved, according to the court, by the record of the </w:t>
      </w:r>
      <w:r w:rsidRPr="00E116B6" w:rsidR="006C32B0">
        <w:rPr>
          <w:lang w:val="en-GB"/>
        </w:rPr>
        <w:t xml:space="preserve">body </w:t>
      </w:r>
      <w:r w:rsidRPr="00E116B6" w:rsidR="00B0785A">
        <w:rPr>
          <w:lang w:val="en-GB"/>
        </w:rPr>
        <w:t xml:space="preserve">search </w:t>
      </w:r>
      <w:r w:rsidRPr="00E116B6" w:rsidR="006C32B0">
        <w:rPr>
          <w:lang w:val="en-GB"/>
        </w:rPr>
        <w:t xml:space="preserve">after </w:t>
      </w:r>
      <w:r w:rsidRPr="00E116B6" w:rsidR="00B0785A">
        <w:rPr>
          <w:lang w:val="en-GB"/>
        </w:rPr>
        <w:t>his arrest and the record of the seizure of the weap</w:t>
      </w:r>
      <w:r w:rsidRPr="00E116B6" w:rsidR="006555F4">
        <w:rPr>
          <w:lang w:val="en-GB"/>
        </w:rPr>
        <w:t xml:space="preserve">on </w:t>
      </w:r>
      <w:r w:rsidRPr="00E116B6" w:rsidR="00B0785A">
        <w:rPr>
          <w:lang w:val="en-GB"/>
        </w:rPr>
        <w:t>thus discovered.</w:t>
      </w:r>
    </w:p>
    <w:bookmarkStart w:name="evidences2" w:id="40"/>
    <w:p w:rsidRPr="00E116B6" w:rsidR="00AC1180" w:rsidP="00E116B6" w:rsidRDefault="004C4CF3">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75</w:t>
      </w:r>
      <w:r w:rsidRPr="00E116B6">
        <w:rPr>
          <w:lang w:val="en-GB"/>
        </w:rPr>
        <w:fldChar w:fldCharType="end"/>
      </w:r>
      <w:bookmarkEnd w:id="40"/>
      <w:r w:rsidRPr="00E116B6" w:rsidR="00B0785A">
        <w:rPr>
          <w:lang w:val="en-GB"/>
        </w:rPr>
        <w:t>.  </w:t>
      </w:r>
      <w:r w:rsidRPr="00E116B6" w:rsidR="006C32B0">
        <w:rPr>
          <w:lang w:val="en-GB"/>
        </w:rPr>
        <w:t xml:space="preserve">The court </w:t>
      </w:r>
      <w:r w:rsidRPr="00E116B6" w:rsidR="00F8216D">
        <w:rPr>
          <w:lang w:val="en-GB"/>
        </w:rPr>
        <w:t xml:space="preserve">found that </w:t>
      </w:r>
      <w:r w:rsidRPr="00E116B6" w:rsidR="006C32B0">
        <w:rPr>
          <w:lang w:val="en-GB"/>
        </w:rPr>
        <w:t xml:space="preserve">the charge of </w:t>
      </w:r>
      <w:r w:rsidRPr="00E116B6" w:rsidR="00DD7C0C">
        <w:rPr>
          <w:lang w:val="en-GB"/>
        </w:rPr>
        <w:t>a</w:t>
      </w:r>
      <w:r w:rsidRPr="00E116B6" w:rsidR="00B0785A">
        <w:rPr>
          <w:lang w:val="en-GB"/>
        </w:rPr>
        <w:t>ttempted murder</w:t>
      </w:r>
      <w:r w:rsidRPr="00E116B6" w:rsidR="006C32B0">
        <w:rPr>
          <w:lang w:val="en-GB"/>
        </w:rPr>
        <w:t xml:space="preserve"> had been proved </w:t>
      </w:r>
      <w:r w:rsidRPr="00E116B6" w:rsidR="00B0785A">
        <w:rPr>
          <w:lang w:val="en-GB"/>
        </w:rPr>
        <w:t xml:space="preserve">by the following items of </w:t>
      </w:r>
      <w:r w:rsidRPr="00E116B6" w:rsidR="00DD7C0C">
        <w:rPr>
          <w:lang w:val="en-GB"/>
        </w:rPr>
        <w:t xml:space="preserve">direct </w:t>
      </w:r>
      <w:r w:rsidRPr="00E116B6" w:rsidR="00B0785A">
        <w:rPr>
          <w:lang w:val="en-GB"/>
        </w:rPr>
        <w:t>evidence</w:t>
      </w:r>
      <w:r w:rsidRPr="00E116B6" w:rsidR="00FD31A2">
        <w:rPr>
          <w:lang w:val="en-GB"/>
        </w:rPr>
        <w:t xml:space="preserve">, which it </w:t>
      </w:r>
      <w:r w:rsidRPr="00E116B6" w:rsidR="00F8216D">
        <w:rPr>
          <w:lang w:val="en-GB"/>
        </w:rPr>
        <w:t xml:space="preserve">considered </w:t>
      </w:r>
      <w:r w:rsidRPr="00E116B6" w:rsidR="00FD31A2">
        <w:rPr>
          <w:lang w:val="en-GB"/>
        </w:rPr>
        <w:t>to have been obtained without any major irregularit</w:t>
      </w:r>
      <w:r w:rsidRPr="00E116B6" w:rsidR="00F8216D">
        <w:rPr>
          <w:lang w:val="en-GB"/>
        </w:rPr>
        <w:t>ies</w:t>
      </w:r>
      <w:r w:rsidRPr="00E116B6" w:rsidR="00B0785A">
        <w:rPr>
          <w:lang w:val="en-GB"/>
        </w:rPr>
        <w:t>:</w:t>
      </w:r>
    </w:p>
    <w:p w:rsidRPr="00E116B6" w:rsidR="008D0DD8" w:rsidP="00E116B6" w:rsidRDefault="006555F4">
      <w:pPr>
        <w:pStyle w:val="ECHRPara"/>
        <w:rPr>
          <w:lang w:val="en-GB"/>
        </w:rPr>
      </w:pPr>
      <w:r w:rsidRPr="00E116B6">
        <w:rPr>
          <w:lang w:val="en-GB"/>
        </w:rPr>
        <w:t>(i)  </w:t>
      </w:r>
      <w:r w:rsidRPr="00E116B6" w:rsidR="00B0785A">
        <w:rPr>
          <w:lang w:val="en-GB"/>
        </w:rPr>
        <w:t>the written record of the</w:t>
      </w:r>
      <w:r w:rsidRPr="00E116B6" w:rsidR="0067636A">
        <w:rPr>
          <w:lang w:val="en-GB"/>
        </w:rPr>
        <w:t xml:space="preserve"> first applicant</w:t>
      </w:r>
      <w:r w:rsidRPr="00E116B6" w:rsidR="00E116B6">
        <w:rPr>
          <w:lang w:val="en-GB"/>
        </w:rPr>
        <w:t>’</w:t>
      </w:r>
      <w:r w:rsidRPr="00E116B6" w:rsidR="0067636A">
        <w:rPr>
          <w:lang w:val="en-GB"/>
        </w:rPr>
        <w:t>s confessi</w:t>
      </w:r>
      <w:r w:rsidRPr="00E116B6">
        <w:rPr>
          <w:lang w:val="en-GB"/>
        </w:rPr>
        <w:t xml:space="preserve">on </w:t>
      </w:r>
      <w:r w:rsidRPr="00E116B6" w:rsidR="0067636A">
        <w:rPr>
          <w:lang w:val="en-GB"/>
        </w:rPr>
        <w:t>given during the</w:t>
      </w:r>
      <w:r w:rsidRPr="00E116B6" w:rsidR="00B0785A">
        <w:rPr>
          <w:lang w:val="en-GB"/>
        </w:rPr>
        <w:t xml:space="preserve"> </w:t>
      </w:r>
      <w:r w:rsidRPr="00E116B6" w:rsidR="0067636A">
        <w:rPr>
          <w:lang w:val="en-GB"/>
        </w:rPr>
        <w:t>reconstructi</w:t>
      </w:r>
      <w:r w:rsidRPr="00E116B6">
        <w:rPr>
          <w:lang w:val="en-GB"/>
        </w:rPr>
        <w:t xml:space="preserve">on </w:t>
      </w:r>
      <w:r w:rsidRPr="00E116B6" w:rsidR="0067636A">
        <w:rPr>
          <w:lang w:val="en-GB"/>
        </w:rPr>
        <w:t xml:space="preserve">at the scene of the crime </w:t>
      </w:r>
      <w:r w:rsidRPr="00E116B6">
        <w:rPr>
          <w:lang w:val="en-GB"/>
        </w:rPr>
        <w:t xml:space="preserve">on </w:t>
      </w:r>
      <w:r w:rsidRPr="00E116B6" w:rsidR="00B0785A">
        <w:rPr>
          <w:lang w:val="en-GB"/>
        </w:rPr>
        <w:t xml:space="preserve">13 May 2004 </w:t>
      </w:r>
      <w:r w:rsidRPr="00E116B6" w:rsidR="008D0DD8">
        <w:rPr>
          <w:lang w:val="en-GB"/>
        </w:rPr>
        <w:t>(see paragraph</w:t>
      </w:r>
      <w:r w:rsidRPr="00E116B6" w:rsidR="00195F9C">
        <w:rPr>
          <w:lang w:val="en-GB"/>
        </w:rPr>
        <w:t> </w:t>
      </w:r>
      <w:r w:rsidRPr="00E116B6" w:rsidR="00602719">
        <w:rPr>
          <w:lang w:val="en-GB"/>
        </w:rPr>
        <w:fldChar w:fldCharType="begin"/>
      </w:r>
      <w:r w:rsidRPr="00E116B6" w:rsidR="00602719">
        <w:rPr>
          <w:lang w:val="en-GB"/>
        </w:rPr>
        <w:instrText xml:space="preserve"> REF confessionatreconstruction \h </w:instrText>
      </w:r>
      <w:r w:rsidRPr="00E116B6" w:rsidR="00602719">
        <w:rPr>
          <w:lang w:val="en-GB"/>
        </w:rPr>
      </w:r>
      <w:r w:rsidRPr="00E116B6" w:rsidR="00602719">
        <w:rPr>
          <w:lang w:val="en-GB"/>
        </w:rPr>
        <w:fldChar w:fldCharType="separate"/>
      </w:r>
      <w:r w:rsidRPr="00E116B6" w:rsidR="00E116B6">
        <w:rPr>
          <w:noProof/>
          <w:lang w:val="en-GB"/>
        </w:rPr>
        <w:t>12</w:t>
      </w:r>
      <w:r w:rsidRPr="00E116B6" w:rsidR="00602719">
        <w:rPr>
          <w:lang w:val="en-GB"/>
        </w:rPr>
        <w:fldChar w:fldCharType="end"/>
      </w:r>
      <w:r w:rsidRPr="00E116B6" w:rsidR="00195F9C">
        <w:rPr>
          <w:lang w:val="en-GB"/>
        </w:rPr>
        <w:t xml:space="preserve"> </w:t>
      </w:r>
      <w:r w:rsidRPr="00E116B6" w:rsidR="008D0DD8">
        <w:rPr>
          <w:lang w:val="en-GB"/>
        </w:rPr>
        <w:t>above);</w:t>
      </w:r>
    </w:p>
    <w:p w:rsidRPr="00E116B6" w:rsidR="008D0DD8" w:rsidP="00E116B6" w:rsidRDefault="006555F4">
      <w:pPr>
        <w:pStyle w:val="ECHRPara"/>
        <w:rPr>
          <w:lang w:val="en-GB"/>
        </w:rPr>
      </w:pPr>
      <w:r w:rsidRPr="00E116B6">
        <w:rPr>
          <w:lang w:val="en-GB"/>
        </w:rPr>
        <w:t>(ii)  </w:t>
      </w:r>
      <w:r w:rsidRPr="00E116B6" w:rsidR="00B0785A">
        <w:rPr>
          <w:lang w:val="en-GB"/>
        </w:rPr>
        <w:t>the record of his identificati</w:t>
      </w:r>
      <w:r w:rsidRPr="00E116B6">
        <w:rPr>
          <w:lang w:val="en-GB"/>
        </w:rPr>
        <w:t xml:space="preserve">on </w:t>
      </w:r>
      <w:r w:rsidRPr="00E116B6" w:rsidR="00B0785A">
        <w:rPr>
          <w:lang w:val="en-GB"/>
        </w:rPr>
        <w:t xml:space="preserve">by the member of parliament </w:t>
      </w:r>
      <w:r w:rsidRPr="00E116B6">
        <w:rPr>
          <w:lang w:val="en-GB"/>
        </w:rPr>
        <w:t xml:space="preserve">on </w:t>
      </w:r>
      <w:r w:rsidRPr="00E116B6" w:rsidR="00B0785A">
        <w:rPr>
          <w:lang w:val="en-GB"/>
        </w:rPr>
        <w:t>the same day</w:t>
      </w:r>
      <w:r w:rsidRPr="00E116B6" w:rsidR="008D0DD8">
        <w:rPr>
          <w:lang w:val="en-GB"/>
        </w:rPr>
        <w:t xml:space="preserve"> (see paragraph</w:t>
      </w:r>
      <w:r w:rsidRPr="00E116B6" w:rsidR="00602719">
        <w:rPr>
          <w:lang w:val="en-GB"/>
        </w:rPr>
        <w:t xml:space="preserve"> </w:t>
      </w:r>
      <w:r w:rsidRPr="00E116B6" w:rsidR="00602719">
        <w:rPr>
          <w:lang w:val="en-GB"/>
        </w:rPr>
        <w:fldChar w:fldCharType="begin"/>
      </w:r>
      <w:r w:rsidRPr="00E116B6" w:rsidR="00602719">
        <w:rPr>
          <w:lang w:val="en-GB"/>
        </w:rPr>
        <w:instrText xml:space="preserve"> REF privatetalk \h </w:instrText>
      </w:r>
      <w:r w:rsidRPr="00E116B6" w:rsidR="00602719">
        <w:rPr>
          <w:lang w:val="en-GB"/>
        </w:rPr>
      </w:r>
      <w:r w:rsidRPr="00E116B6" w:rsidR="00602719">
        <w:rPr>
          <w:lang w:val="en-GB"/>
        </w:rPr>
        <w:fldChar w:fldCharType="separate"/>
      </w:r>
      <w:r w:rsidRPr="00E116B6" w:rsidR="00E116B6">
        <w:rPr>
          <w:noProof/>
          <w:lang w:val="en-GB"/>
        </w:rPr>
        <w:t>13</w:t>
      </w:r>
      <w:r w:rsidRPr="00E116B6" w:rsidR="00602719">
        <w:rPr>
          <w:lang w:val="en-GB"/>
        </w:rPr>
        <w:fldChar w:fldCharType="end"/>
      </w:r>
      <w:r w:rsidRPr="00E116B6" w:rsidR="008D0DD8">
        <w:rPr>
          <w:lang w:val="en-GB"/>
        </w:rPr>
        <w:t xml:space="preserve"> above);</w:t>
      </w:r>
    </w:p>
    <w:p w:rsidRPr="00E116B6" w:rsidR="00C629BC" w:rsidP="00E116B6" w:rsidRDefault="006555F4">
      <w:pPr>
        <w:pStyle w:val="ECHRPara"/>
        <w:rPr>
          <w:lang w:val="en-GB"/>
        </w:rPr>
      </w:pPr>
      <w:r w:rsidRPr="00E116B6">
        <w:rPr>
          <w:lang w:val="en-GB"/>
        </w:rPr>
        <w:t>(iii)  </w:t>
      </w:r>
      <w:r w:rsidRPr="00E116B6" w:rsidR="0067636A">
        <w:rPr>
          <w:lang w:val="en-GB"/>
        </w:rPr>
        <w:t>the member of parliament</w:t>
      </w:r>
      <w:r w:rsidRPr="00E116B6" w:rsidR="00E116B6">
        <w:rPr>
          <w:lang w:val="en-GB"/>
        </w:rPr>
        <w:t>’</w:t>
      </w:r>
      <w:r w:rsidRPr="00E116B6" w:rsidR="0067636A">
        <w:rPr>
          <w:lang w:val="en-GB"/>
        </w:rPr>
        <w:t xml:space="preserve">s statements concerning the private talk he had had with the first applicant </w:t>
      </w:r>
      <w:r w:rsidRPr="00E116B6">
        <w:rPr>
          <w:lang w:val="en-GB"/>
        </w:rPr>
        <w:t xml:space="preserve">on </w:t>
      </w:r>
      <w:r w:rsidRPr="00E116B6" w:rsidR="0067636A">
        <w:rPr>
          <w:lang w:val="en-GB"/>
        </w:rPr>
        <w:t>13 May 2004 (</w:t>
      </w:r>
      <w:r w:rsidRPr="00E116B6" w:rsidR="00602719">
        <w:rPr>
          <w:lang w:val="en-GB"/>
        </w:rPr>
        <w:t xml:space="preserve">see paragraph </w:t>
      </w:r>
      <w:r w:rsidRPr="00E116B6" w:rsidR="00602719">
        <w:rPr>
          <w:lang w:val="en-GB"/>
        </w:rPr>
        <w:fldChar w:fldCharType="begin"/>
      </w:r>
      <w:r w:rsidRPr="00E116B6" w:rsidR="00602719">
        <w:rPr>
          <w:lang w:val="en-GB"/>
        </w:rPr>
        <w:instrText xml:space="preserve"> REF privatetalk \h </w:instrText>
      </w:r>
      <w:r w:rsidRPr="00E116B6" w:rsidR="00602719">
        <w:rPr>
          <w:lang w:val="en-GB"/>
        </w:rPr>
      </w:r>
      <w:r w:rsidRPr="00E116B6" w:rsidR="00602719">
        <w:rPr>
          <w:lang w:val="en-GB"/>
        </w:rPr>
        <w:fldChar w:fldCharType="separate"/>
      </w:r>
      <w:r w:rsidRPr="00E116B6" w:rsidR="00E116B6">
        <w:rPr>
          <w:noProof/>
          <w:lang w:val="en-GB"/>
        </w:rPr>
        <w:t>13</w:t>
      </w:r>
      <w:r w:rsidRPr="00E116B6" w:rsidR="00602719">
        <w:rPr>
          <w:lang w:val="en-GB"/>
        </w:rPr>
        <w:fldChar w:fldCharType="end"/>
      </w:r>
      <w:r w:rsidRPr="00E116B6" w:rsidR="00602719">
        <w:rPr>
          <w:lang w:val="en-GB"/>
        </w:rPr>
        <w:t xml:space="preserve"> </w:t>
      </w:r>
      <w:r w:rsidRPr="00E116B6" w:rsidR="0067636A">
        <w:rPr>
          <w:lang w:val="en-GB"/>
        </w:rPr>
        <w:t>above).</w:t>
      </w:r>
    </w:p>
    <w:bookmarkStart w:name="evidences3" w:id="41"/>
    <w:p w:rsidRPr="00E116B6" w:rsidR="008D0DD8" w:rsidP="00E116B6" w:rsidRDefault="004C4CF3">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76</w:t>
      </w:r>
      <w:r w:rsidRPr="00E116B6">
        <w:rPr>
          <w:lang w:val="en-GB"/>
        </w:rPr>
        <w:fldChar w:fldCharType="end"/>
      </w:r>
      <w:bookmarkEnd w:id="41"/>
      <w:r w:rsidRPr="00E116B6" w:rsidR="00B0785A">
        <w:rPr>
          <w:lang w:val="en-GB"/>
        </w:rPr>
        <w:t>.  </w:t>
      </w:r>
      <w:r w:rsidRPr="00E116B6" w:rsidR="009C49FA">
        <w:rPr>
          <w:lang w:val="en-GB"/>
        </w:rPr>
        <w:t>The second applicant was also found guilty of attempted murder with aggravating circumstances and of the illicit possessi</w:t>
      </w:r>
      <w:r w:rsidRPr="00E116B6" w:rsidR="006555F4">
        <w:rPr>
          <w:lang w:val="en-GB"/>
        </w:rPr>
        <w:t xml:space="preserve">on </w:t>
      </w:r>
      <w:r w:rsidRPr="00E116B6" w:rsidR="009C49FA">
        <w:rPr>
          <w:lang w:val="en-GB"/>
        </w:rPr>
        <w:t>of a weap</w:t>
      </w:r>
      <w:r w:rsidRPr="00E116B6" w:rsidR="006555F4">
        <w:rPr>
          <w:lang w:val="en-GB"/>
        </w:rPr>
        <w:t xml:space="preserve">on on </w:t>
      </w:r>
      <w:r w:rsidRPr="00E116B6" w:rsidR="009C49FA">
        <w:rPr>
          <w:lang w:val="en-GB"/>
        </w:rPr>
        <w:t xml:space="preserve">account of his role in planning to kill the member of parliament by hiring the first applicant and providing him with a firearm. He was additionally found guilty of embezzlement </w:t>
      </w:r>
      <w:r w:rsidRPr="00E116B6" w:rsidR="006555F4">
        <w:rPr>
          <w:lang w:val="en-GB"/>
        </w:rPr>
        <w:t xml:space="preserve">on </w:t>
      </w:r>
      <w:r w:rsidRPr="00E116B6" w:rsidR="009C49FA">
        <w:rPr>
          <w:lang w:val="en-GB"/>
        </w:rPr>
        <w:t>account of his complicity with his brother in misappropriating the bank</w:t>
      </w:r>
      <w:r w:rsidRPr="00E116B6" w:rsidR="00E116B6">
        <w:rPr>
          <w:lang w:val="en-GB"/>
        </w:rPr>
        <w:t>’</w:t>
      </w:r>
      <w:r w:rsidRPr="00E116B6" w:rsidR="009C49FA">
        <w:rPr>
          <w:lang w:val="en-GB"/>
        </w:rPr>
        <w:t xml:space="preserve">s assets </w:t>
      </w:r>
      <w:r w:rsidRPr="00E116B6" w:rsidR="005259DA">
        <w:rPr>
          <w:lang w:val="en-GB"/>
        </w:rPr>
        <w:t xml:space="preserve">(see paragraphs </w:t>
      </w:r>
      <w:r w:rsidRPr="00E116B6" w:rsidR="005259DA">
        <w:rPr>
          <w:lang w:val="en-GB"/>
        </w:rPr>
        <w:fldChar w:fldCharType="begin"/>
      </w:r>
      <w:r w:rsidRPr="00E116B6" w:rsidR="005259DA">
        <w:rPr>
          <w:lang w:val="en-GB"/>
        </w:rPr>
        <w:instrText xml:space="preserve"> REF motive \h </w:instrText>
      </w:r>
      <w:r w:rsidRPr="00E116B6" w:rsidR="005259DA">
        <w:rPr>
          <w:lang w:val="en-GB"/>
        </w:rPr>
      </w:r>
      <w:r w:rsidRPr="00E116B6" w:rsidR="005259DA">
        <w:rPr>
          <w:lang w:val="en-GB"/>
        </w:rPr>
        <w:fldChar w:fldCharType="separate"/>
      </w:r>
      <w:r w:rsidRPr="00E116B6" w:rsidR="00E116B6">
        <w:rPr>
          <w:noProof/>
          <w:lang w:val="en-GB"/>
        </w:rPr>
        <w:t>15</w:t>
      </w:r>
      <w:r w:rsidRPr="00E116B6" w:rsidR="005259DA">
        <w:rPr>
          <w:lang w:val="en-GB"/>
        </w:rPr>
        <w:fldChar w:fldCharType="end"/>
      </w:r>
      <w:r w:rsidRPr="00E116B6" w:rsidR="005259DA">
        <w:rPr>
          <w:lang w:val="en-GB"/>
        </w:rPr>
        <w:t xml:space="preserve"> and </w:t>
      </w:r>
      <w:r w:rsidRPr="00E116B6" w:rsidR="005259DA">
        <w:rPr>
          <w:lang w:val="en-GB"/>
        </w:rPr>
        <w:fldChar w:fldCharType="begin"/>
      </w:r>
      <w:r w:rsidRPr="00E116B6" w:rsidR="005259DA">
        <w:rPr>
          <w:lang w:val="en-GB"/>
        </w:rPr>
        <w:instrText xml:space="preserve"> REF motive1 \h </w:instrText>
      </w:r>
      <w:r w:rsidRPr="00E116B6" w:rsidR="005259DA">
        <w:rPr>
          <w:lang w:val="en-GB"/>
        </w:rPr>
      </w:r>
      <w:r w:rsidRPr="00E116B6" w:rsidR="005259DA">
        <w:rPr>
          <w:lang w:val="en-GB"/>
        </w:rPr>
        <w:fldChar w:fldCharType="separate"/>
      </w:r>
      <w:r w:rsidRPr="00E116B6" w:rsidR="00E116B6">
        <w:rPr>
          <w:noProof/>
          <w:lang w:val="en-GB"/>
        </w:rPr>
        <w:t>62</w:t>
      </w:r>
      <w:r w:rsidRPr="00E116B6" w:rsidR="005259DA">
        <w:rPr>
          <w:lang w:val="en-GB"/>
        </w:rPr>
        <w:fldChar w:fldCharType="end"/>
      </w:r>
      <w:r w:rsidRPr="00E116B6" w:rsidR="005259DA">
        <w:rPr>
          <w:lang w:val="en-GB"/>
        </w:rPr>
        <w:t xml:space="preserve"> above).</w:t>
      </w:r>
      <w:r w:rsidRPr="00E116B6" w:rsidR="00B0785A">
        <w:rPr>
          <w:lang w:val="en-GB"/>
        </w:rPr>
        <w:t xml:space="preserve"> </w:t>
      </w:r>
      <w:r w:rsidRPr="00E116B6" w:rsidR="009C49FA">
        <w:rPr>
          <w:lang w:val="en-GB"/>
        </w:rPr>
        <w:t>In the trial court</w:t>
      </w:r>
      <w:r w:rsidRPr="00E116B6" w:rsidR="00E116B6">
        <w:rPr>
          <w:lang w:val="en-GB"/>
        </w:rPr>
        <w:t>’</w:t>
      </w:r>
      <w:r w:rsidRPr="00E116B6" w:rsidR="009C49FA">
        <w:rPr>
          <w:lang w:val="en-GB"/>
        </w:rPr>
        <w:t>s opinion, the same evidence as used against the first applicant had proven the charge of attempted murder against the second applicant (see the preceding paragraph):</w:t>
      </w:r>
    </w:p>
    <w:p w:rsidRPr="00E116B6" w:rsidR="00AC1180" w:rsidP="00E116B6" w:rsidRDefault="006555F4">
      <w:pPr>
        <w:pStyle w:val="ECHRPara"/>
        <w:rPr>
          <w:lang w:val="en-GB"/>
        </w:rPr>
      </w:pPr>
      <w:r w:rsidRPr="00E116B6">
        <w:rPr>
          <w:lang w:val="en-GB"/>
        </w:rPr>
        <w:t>(i)  </w:t>
      </w:r>
      <w:r w:rsidRPr="00E116B6" w:rsidR="0067636A">
        <w:rPr>
          <w:lang w:val="en-GB"/>
        </w:rPr>
        <w:t>the written record of the first applicant</w:t>
      </w:r>
      <w:r w:rsidRPr="00E116B6" w:rsidR="00E116B6">
        <w:rPr>
          <w:lang w:val="en-GB"/>
        </w:rPr>
        <w:t>’</w:t>
      </w:r>
      <w:r w:rsidRPr="00E116B6" w:rsidR="0067636A">
        <w:rPr>
          <w:lang w:val="en-GB"/>
        </w:rPr>
        <w:t>s confessi</w:t>
      </w:r>
      <w:r w:rsidRPr="00E116B6">
        <w:rPr>
          <w:lang w:val="en-GB"/>
        </w:rPr>
        <w:t xml:space="preserve">on </w:t>
      </w:r>
      <w:r w:rsidRPr="00E116B6" w:rsidR="0067636A">
        <w:rPr>
          <w:lang w:val="en-GB"/>
        </w:rPr>
        <w:t>during the reconstructi</w:t>
      </w:r>
      <w:r w:rsidRPr="00E116B6">
        <w:rPr>
          <w:lang w:val="en-GB"/>
        </w:rPr>
        <w:t xml:space="preserve">on </w:t>
      </w:r>
      <w:r w:rsidRPr="00E116B6" w:rsidR="0067636A">
        <w:rPr>
          <w:lang w:val="en-GB"/>
        </w:rPr>
        <w:t xml:space="preserve">at the scene of the crime </w:t>
      </w:r>
      <w:r w:rsidRPr="00E116B6">
        <w:rPr>
          <w:lang w:val="en-GB"/>
        </w:rPr>
        <w:t xml:space="preserve">on </w:t>
      </w:r>
      <w:r w:rsidRPr="00E116B6" w:rsidR="0067636A">
        <w:rPr>
          <w:lang w:val="en-GB"/>
        </w:rPr>
        <w:t>13 May 2004</w:t>
      </w:r>
      <w:r w:rsidRPr="00E116B6" w:rsidR="0051541E">
        <w:rPr>
          <w:lang w:val="en-GB"/>
        </w:rPr>
        <w:t>;</w:t>
      </w:r>
      <w:r w:rsidRPr="00E116B6" w:rsidR="00DD7C0C">
        <w:rPr>
          <w:lang w:val="en-GB"/>
        </w:rPr>
        <w:t xml:space="preserve"> and</w:t>
      </w:r>
    </w:p>
    <w:p w:rsidRPr="00E116B6" w:rsidR="0051541E" w:rsidP="00E116B6" w:rsidRDefault="006555F4">
      <w:pPr>
        <w:pStyle w:val="ECHRPara"/>
        <w:rPr>
          <w:lang w:val="en-GB"/>
        </w:rPr>
      </w:pPr>
      <w:r w:rsidRPr="00E116B6">
        <w:rPr>
          <w:lang w:val="en-GB"/>
        </w:rPr>
        <w:t>(ii)  </w:t>
      </w:r>
      <w:r w:rsidRPr="00E116B6" w:rsidR="00DD7C0C">
        <w:rPr>
          <w:lang w:val="en-GB"/>
        </w:rPr>
        <w:t>the member of parliament</w:t>
      </w:r>
      <w:r w:rsidRPr="00E116B6" w:rsidR="00E116B6">
        <w:rPr>
          <w:lang w:val="en-GB"/>
        </w:rPr>
        <w:t>’</w:t>
      </w:r>
      <w:r w:rsidRPr="00E116B6" w:rsidR="00DD7C0C">
        <w:rPr>
          <w:lang w:val="en-GB"/>
        </w:rPr>
        <w:t xml:space="preserve">s statements concerning the private talk he had had with the first applicant </w:t>
      </w:r>
      <w:r w:rsidRPr="00E116B6">
        <w:rPr>
          <w:lang w:val="en-GB"/>
        </w:rPr>
        <w:t xml:space="preserve">on </w:t>
      </w:r>
      <w:r w:rsidRPr="00E116B6" w:rsidR="00DD7C0C">
        <w:rPr>
          <w:lang w:val="en-GB"/>
        </w:rPr>
        <w:t>13 May 2004</w:t>
      </w:r>
      <w:r w:rsidRPr="00E116B6" w:rsidR="00B9373F">
        <w:rPr>
          <w:lang w:val="en-GB"/>
        </w:rPr>
        <w:t>.</w:t>
      </w:r>
    </w:p>
    <w:p w:rsidRPr="00E116B6" w:rsidR="006F5A49" w:rsidP="00E116B6" w:rsidRDefault="004C4CF3">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77</w:t>
      </w:r>
      <w:r w:rsidRPr="00E116B6">
        <w:rPr>
          <w:lang w:val="en-GB"/>
        </w:rPr>
        <w:fldChar w:fldCharType="end"/>
      </w:r>
      <w:r w:rsidRPr="00E116B6" w:rsidR="006F5A49">
        <w:rPr>
          <w:lang w:val="en-GB"/>
        </w:rPr>
        <w:t xml:space="preserve">.  As to the </w:t>
      </w:r>
      <w:r w:rsidRPr="00E116B6" w:rsidR="00F8216D">
        <w:rPr>
          <w:lang w:val="en-GB"/>
        </w:rPr>
        <w:t>defence</w:t>
      </w:r>
      <w:r w:rsidRPr="00E116B6" w:rsidR="00E116B6">
        <w:rPr>
          <w:lang w:val="en-GB"/>
        </w:rPr>
        <w:t>’</w:t>
      </w:r>
      <w:r w:rsidRPr="00E116B6" w:rsidR="00F8216D">
        <w:rPr>
          <w:lang w:val="en-GB"/>
        </w:rPr>
        <w:t xml:space="preserve">s </w:t>
      </w:r>
      <w:r w:rsidRPr="00E116B6" w:rsidR="006F5A49">
        <w:rPr>
          <w:lang w:val="en-GB"/>
        </w:rPr>
        <w:t xml:space="preserve">arguments concerning the lawfulness of the various records mentioned above, the </w:t>
      </w:r>
      <w:r w:rsidRPr="00E116B6" w:rsidR="0051541E">
        <w:rPr>
          <w:lang w:val="en-GB"/>
        </w:rPr>
        <w:t xml:space="preserve">trial </w:t>
      </w:r>
      <w:r w:rsidRPr="00E116B6" w:rsidR="006F5A49">
        <w:rPr>
          <w:lang w:val="en-GB"/>
        </w:rPr>
        <w:t xml:space="preserve">court conceded that there had been a series of irregularities in the course of the investigative procedures in question, but they </w:t>
      </w:r>
      <w:r w:rsidRPr="00E116B6" w:rsidR="00A328D5">
        <w:rPr>
          <w:lang w:val="en-GB"/>
        </w:rPr>
        <w:t xml:space="preserve">had </w:t>
      </w:r>
      <w:r w:rsidRPr="00E116B6" w:rsidR="006F5A49">
        <w:rPr>
          <w:lang w:val="en-GB"/>
        </w:rPr>
        <w:t xml:space="preserve">not </w:t>
      </w:r>
      <w:r w:rsidRPr="00E116B6" w:rsidR="00A328D5">
        <w:rPr>
          <w:lang w:val="en-GB"/>
        </w:rPr>
        <w:t xml:space="preserve">been </w:t>
      </w:r>
      <w:r w:rsidRPr="00E116B6" w:rsidR="00F8216D">
        <w:rPr>
          <w:lang w:val="en-GB"/>
        </w:rPr>
        <w:t xml:space="preserve">such as to </w:t>
      </w:r>
      <w:r w:rsidRPr="00E116B6" w:rsidR="006F5A49">
        <w:rPr>
          <w:lang w:val="en-GB"/>
        </w:rPr>
        <w:t>render the evidence inadmissible.</w:t>
      </w:r>
    </w:p>
    <w:p w:rsidRPr="00E116B6" w:rsidR="00B41633" w:rsidP="00E116B6" w:rsidRDefault="004C4CF3">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78</w:t>
      </w:r>
      <w:r w:rsidRPr="00E116B6">
        <w:rPr>
          <w:lang w:val="en-GB"/>
        </w:rPr>
        <w:fldChar w:fldCharType="end"/>
      </w:r>
      <w:r w:rsidRPr="00E116B6" w:rsidR="00B41633">
        <w:rPr>
          <w:lang w:val="en-GB"/>
        </w:rPr>
        <w:t>.  </w:t>
      </w:r>
      <w:r w:rsidRPr="00E116B6" w:rsidR="0051541E">
        <w:rPr>
          <w:lang w:val="en-GB"/>
        </w:rPr>
        <w:t>Both</w:t>
      </w:r>
      <w:r w:rsidRPr="00E116B6" w:rsidR="00B41633">
        <w:rPr>
          <w:lang w:val="en-GB"/>
        </w:rPr>
        <w:t xml:space="preserve"> applicants appealed.</w:t>
      </w:r>
    </w:p>
    <w:p w:rsidRPr="00E116B6" w:rsidR="00B41633" w:rsidP="00E116B6" w:rsidRDefault="004C4CF3">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79</w:t>
      </w:r>
      <w:r w:rsidRPr="00E116B6">
        <w:rPr>
          <w:lang w:val="en-GB"/>
        </w:rPr>
        <w:fldChar w:fldCharType="end"/>
      </w:r>
      <w:r w:rsidRPr="00E116B6" w:rsidR="00B41633">
        <w:rPr>
          <w:lang w:val="en-GB"/>
        </w:rPr>
        <w:t>.  </w:t>
      </w:r>
      <w:r w:rsidRPr="00E116B6" w:rsidR="00ED16DA">
        <w:rPr>
          <w:lang w:val="en-GB"/>
        </w:rPr>
        <w:t xml:space="preserve">With respect to the </w:t>
      </w:r>
      <w:r w:rsidRPr="00E116B6" w:rsidR="00F8216D">
        <w:rPr>
          <w:lang w:val="en-GB"/>
        </w:rPr>
        <w:t>convicti</w:t>
      </w:r>
      <w:r w:rsidRPr="00E116B6" w:rsidR="006555F4">
        <w:rPr>
          <w:lang w:val="en-GB"/>
        </w:rPr>
        <w:t xml:space="preserve">on </w:t>
      </w:r>
      <w:r w:rsidRPr="00E116B6" w:rsidR="00F8216D">
        <w:rPr>
          <w:lang w:val="en-GB"/>
        </w:rPr>
        <w:t xml:space="preserve">for </w:t>
      </w:r>
      <w:r w:rsidRPr="00E116B6" w:rsidR="00ED16DA">
        <w:rPr>
          <w:lang w:val="en-GB"/>
        </w:rPr>
        <w:t xml:space="preserve">attempted murder, the first applicant reiterated his complaints about the absence of a lawyer of his </w:t>
      </w:r>
      <w:r w:rsidRPr="00E116B6" w:rsidR="00FC0CEF">
        <w:rPr>
          <w:lang w:val="en-GB"/>
        </w:rPr>
        <w:t xml:space="preserve">own </w:t>
      </w:r>
      <w:r w:rsidRPr="00E116B6" w:rsidR="00ED16DA">
        <w:rPr>
          <w:lang w:val="en-GB"/>
        </w:rPr>
        <w:t xml:space="preserve">choice </w:t>
      </w:r>
      <w:r w:rsidRPr="00E116B6" w:rsidR="00F8216D">
        <w:rPr>
          <w:lang w:val="en-GB"/>
        </w:rPr>
        <w:t>at</w:t>
      </w:r>
      <w:r w:rsidRPr="00E116B6" w:rsidR="00ED16DA">
        <w:rPr>
          <w:lang w:val="en-GB"/>
        </w:rPr>
        <w:t xml:space="preserve"> the first interviews, his ill-treatment and forced confession. According to him, numerous witn</w:t>
      </w:r>
      <w:r w:rsidRPr="00E116B6" w:rsidR="00DD7C0C">
        <w:rPr>
          <w:lang w:val="en-GB"/>
        </w:rPr>
        <w:t xml:space="preserve">esses questioned by the judges </w:t>
      </w:r>
      <w:r w:rsidRPr="00E116B6" w:rsidR="00ED16DA">
        <w:rPr>
          <w:lang w:val="en-GB"/>
        </w:rPr>
        <w:t xml:space="preserve">had raised a reasonable doubt that he </w:t>
      </w:r>
      <w:r w:rsidRPr="00E116B6" w:rsidR="00A328D5">
        <w:rPr>
          <w:lang w:val="en-GB"/>
        </w:rPr>
        <w:t xml:space="preserve">had </w:t>
      </w:r>
      <w:r w:rsidRPr="00E116B6" w:rsidR="00ED16DA">
        <w:rPr>
          <w:lang w:val="en-GB"/>
        </w:rPr>
        <w:t xml:space="preserve">been able to participate properly in the </w:t>
      </w:r>
      <w:r w:rsidRPr="00E116B6" w:rsidR="00F047C2">
        <w:rPr>
          <w:lang w:val="en-GB"/>
        </w:rPr>
        <w:t>confirmati</w:t>
      </w:r>
      <w:r w:rsidRPr="00E116B6" w:rsidR="006555F4">
        <w:rPr>
          <w:lang w:val="en-GB"/>
        </w:rPr>
        <w:t xml:space="preserve">on </w:t>
      </w:r>
      <w:r w:rsidRPr="00E116B6" w:rsidR="00ED16DA">
        <w:rPr>
          <w:lang w:val="en-GB"/>
        </w:rPr>
        <w:t>of his confessi</w:t>
      </w:r>
      <w:r w:rsidRPr="00E116B6" w:rsidR="006555F4">
        <w:rPr>
          <w:lang w:val="en-GB"/>
        </w:rPr>
        <w:t xml:space="preserve">on </w:t>
      </w:r>
      <w:r w:rsidRPr="00E116B6" w:rsidR="00DD7C0C">
        <w:rPr>
          <w:lang w:val="en-GB"/>
        </w:rPr>
        <w:t>during the reconstructi</w:t>
      </w:r>
      <w:r w:rsidRPr="00E116B6" w:rsidR="006555F4">
        <w:rPr>
          <w:lang w:val="en-GB"/>
        </w:rPr>
        <w:t xml:space="preserve">on </w:t>
      </w:r>
      <w:r w:rsidRPr="00E116B6" w:rsidR="00DD7C0C">
        <w:rPr>
          <w:lang w:val="en-GB"/>
        </w:rPr>
        <w:t>of the events at</w:t>
      </w:r>
      <w:r w:rsidRPr="00E116B6" w:rsidR="00ED16DA">
        <w:rPr>
          <w:lang w:val="en-GB"/>
        </w:rPr>
        <w:t xml:space="preserve"> </w:t>
      </w:r>
      <w:r w:rsidRPr="00E116B6" w:rsidR="00082ED1">
        <w:rPr>
          <w:lang w:val="en-GB"/>
        </w:rPr>
        <w:t xml:space="preserve">the </w:t>
      </w:r>
      <w:r w:rsidRPr="00E116B6" w:rsidR="00ED16DA">
        <w:rPr>
          <w:lang w:val="en-GB"/>
        </w:rPr>
        <w:t xml:space="preserve">scene of the crime </w:t>
      </w:r>
      <w:r w:rsidRPr="00E116B6" w:rsidR="006555F4">
        <w:rPr>
          <w:lang w:val="en-GB"/>
        </w:rPr>
        <w:t xml:space="preserve">on </w:t>
      </w:r>
      <w:r w:rsidRPr="00E116B6" w:rsidR="00ED16DA">
        <w:rPr>
          <w:lang w:val="en-GB"/>
        </w:rPr>
        <w:t xml:space="preserve">13 May 2004. Nevertheless, the record of that procedure had been considered a key piece of evidence in establishing his guilt. The second piece of evidence used to establish his </w:t>
      </w:r>
      <w:r w:rsidRPr="00E116B6" w:rsidR="00F047C2">
        <w:rPr>
          <w:lang w:val="en-GB"/>
        </w:rPr>
        <w:t xml:space="preserve">being </w:t>
      </w:r>
      <w:r w:rsidRPr="00E116B6" w:rsidR="00ED16DA">
        <w:rPr>
          <w:lang w:val="en-GB"/>
        </w:rPr>
        <w:t>guilt</w:t>
      </w:r>
      <w:r w:rsidRPr="00E116B6" w:rsidR="00F047C2">
        <w:rPr>
          <w:lang w:val="en-GB"/>
        </w:rPr>
        <w:t>y</w:t>
      </w:r>
      <w:r w:rsidRPr="00E116B6" w:rsidR="00ED16DA">
        <w:rPr>
          <w:lang w:val="en-GB"/>
        </w:rPr>
        <w:t xml:space="preserve"> of </w:t>
      </w:r>
      <w:r w:rsidRPr="00E116B6" w:rsidR="00F047C2">
        <w:rPr>
          <w:lang w:val="en-GB"/>
        </w:rPr>
        <w:t xml:space="preserve">attempted </w:t>
      </w:r>
      <w:r w:rsidRPr="00E116B6" w:rsidR="00ED16DA">
        <w:rPr>
          <w:lang w:val="en-GB"/>
        </w:rPr>
        <w:t>murder – the record of his identificati</w:t>
      </w:r>
      <w:r w:rsidRPr="00E116B6" w:rsidR="006555F4">
        <w:rPr>
          <w:lang w:val="en-GB"/>
        </w:rPr>
        <w:t xml:space="preserve">on </w:t>
      </w:r>
      <w:r w:rsidRPr="00E116B6" w:rsidR="00ED16DA">
        <w:rPr>
          <w:lang w:val="en-GB"/>
        </w:rPr>
        <w:t xml:space="preserve">by the victim – </w:t>
      </w:r>
      <w:r w:rsidRPr="00E116B6" w:rsidR="00082ED1">
        <w:rPr>
          <w:lang w:val="en-GB"/>
        </w:rPr>
        <w:t xml:space="preserve">had </w:t>
      </w:r>
      <w:r w:rsidRPr="00E116B6" w:rsidR="00DD7C0C">
        <w:rPr>
          <w:lang w:val="en-GB"/>
        </w:rPr>
        <w:t xml:space="preserve">also </w:t>
      </w:r>
      <w:r w:rsidRPr="00E116B6" w:rsidR="00082ED1">
        <w:rPr>
          <w:lang w:val="en-GB"/>
        </w:rPr>
        <w:t xml:space="preserve">been </w:t>
      </w:r>
      <w:r w:rsidRPr="00E116B6" w:rsidR="00ED16DA">
        <w:rPr>
          <w:lang w:val="en-GB"/>
        </w:rPr>
        <w:t xml:space="preserve">tainted by irregularities. In fact, </w:t>
      </w:r>
      <w:r w:rsidRPr="00E116B6" w:rsidR="00DD7C0C">
        <w:rPr>
          <w:lang w:val="en-GB"/>
        </w:rPr>
        <w:t>contrary to the requirement</w:t>
      </w:r>
      <w:r w:rsidRPr="00E116B6" w:rsidR="00082ED1">
        <w:rPr>
          <w:lang w:val="en-GB"/>
        </w:rPr>
        <w:t xml:space="preserve">s of </w:t>
      </w:r>
      <w:r w:rsidRPr="00E116B6" w:rsidR="006555F4">
        <w:rPr>
          <w:lang w:val="en-GB"/>
        </w:rPr>
        <w:t>Article </w:t>
      </w:r>
      <w:r w:rsidRPr="00E116B6" w:rsidR="00DD7C0C">
        <w:rPr>
          <w:lang w:val="en-GB"/>
        </w:rPr>
        <w:t xml:space="preserve">347 of the Code of Criminal Procedure, </w:t>
      </w:r>
      <w:r w:rsidRPr="00E116B6" w:rsidR="00ED16DA">
        <w:rPr>
          <w:lang w:val="en-GB"/>
        </w:rPr>
        <w:t>the other</w:t>
      </w:r>
      <w:r w:rsidRPr="00E116B6" w:rsidR="00082ED1">
        <w:rPr>
          <w:lang w:val="en-GB"/>
        </w:rPr>
        <w:t xml:space="preserve"> men </w:t>
      </w:r>
      <w:r w:rsidRPr="00E116B6" w:rsidR="00ED16DA">
        <w:rPr>
          <w:lang w:val="en-GB"/>
        </w:rPr>
        <w:t>who had lined up with him had all looked healthy, had had full heads of hair, had been clean</w:t>
      </w:r>
      <w:r w:rsidRPr="00E116B6" w:rsidR="00B370DE">
        <w:rPr>
          <w:lang w:val="en-GB"/>
        </w:rPr>
        <w:noBreakHyphen/>
      </w:r>
      <w:r w:rsidRPr="00E116B6" w:rsidR="00ED16DA">
        <w:rPr>
          <w:lang w:val="en-GB"/>
        </w:rPr>
        <w:t xml:space="preserve">shaven and had been wearing belts and </w:t>
      </w:r>
      <w:r w:rsidRPr="00E116B6" w:rsidR="00082ED1">
        <w:rPr>
          <w:lang w:val="en-GB"/>
        </w:rPr>
        <w:t xml:space="preserve">shoes that had been </w:t>
      </w:r>
      <w:r w:rsidRPr="00E116B6" w:rsidR="00ED16DA">
        <w:rPr>
          <w:lang w:val="en-GB"/>
        </w:rPr>
        <w:t>laced up</w:t>
      </w:r>
      <w:r w:rsidRPr="00E116B6" w:rsidR="00082ED1">
        <w:rPr>
          <w:lang w:val="en-GB"/>
        </w:rPr>
        <w:t xml:space="preserve">. He, </w:t>
      </w:r>
      <w:r w:rsidRPr="00E116B6" w:rsidR="006555F4">
        <w:rPr>
          <w:lang w:val="en-GB"/>
        </w:rPr>
        <w:t xml:space="preserve">on </w:t>
      </w:r>
      <w:r w:rsidRPr="00E116B6" w:rsidR="00082ED1">
        <w:rPr>
          <w:lang w:val="en-GB"/>
        </w:rPr>
        <w:t xml:space="preserve">the other hand, </w:t>
      </w:r>
      <w:r w:rsidRPr="00E116B6" w:rsidR="00ED16DA">
        <w:rPr>
          <w:lang w:val="en-GB"/>
        </w:rPr>
        <w:t xml:space="preserve">was partially bald, had been </w:t>
      </w:r>
      <w:r w:rsidRPr="00E116B6" w:rsidR="00082ED1">
        <w:rPr>
          <w:lang w:val="en-GB"/>
        </w:rPr>
        <w:t xml:space="preserve">injured </w:t>
      </w:r>
      <w:r w:rsidRPr="00E116B6" w:rsidR="00ED16DA">
        <w:rPr>
          <w:lang w:val="en-GB"/>
        </w:rPr>
        <w:t xml:space="preserve">and </w:t>
      </w:r>
      <w:r w:rsidRPr="00E116B6" w:rsidR="00082ED1">
        <w:rPr>
          <w:lang w:val="en-GB"/>
        </w:rPr>
        <w:t xml:space="preserve">looked </w:t>
      </w:r>
      <w:r w:rsidRPr="00E116B6" w:rsidR="00ED16DA">
        <w:rPr>
          <w:lang w:val="en-GB"/>
        </w:rPr>
        <w:t xml:space="preserve">tired, had not been able to shave for several days and had had no belt or laces. </w:t>
      </w:r>
      <w:r w:rsidRPr="00E116B6" w:rsidR="00673D65">
        <w:rPr>
          <w:lang w:val="en-GB"/>
        </w:rPr>
        <w:t xml:space="preserve">The first applicant also </w:t>
      </w:r>
      <w:r w:rsidRPr="00E116B6" w:rsidR="0051541E">
        <w:rPr>
          <w:lang w:val="en-GB"/>
        </w:rPr>
        <w:t>referred to</w:t>
      </w:r>
      <w:r w:rsidRPr="00E116B6" w:rsidR="00673D65">
        <w:rPr>
          <w:lang w:val="en-GB"/>
        </w:rPr>
        <w:t xml:space="preserve"> the secret recordings of the meetings between his wife and the</w:t>
      </w:r>
      <w:r w:rsidRPr="00E116B6" w:rsidR="00DD7C0C">
        <w:rPr>
          <w:lang w:val="en-GB"/>
        </w:rPr>
        <w:t xml:space="preserve"> </w:t>
      </w:r>
      <w:r w:rsidRPr="00E116B6" w:rsidR="00673D65">
        <w:rPr>
          <w:lang w:val="en-GB"/>
        </w:rPr>
        <w:t>member of parliament</w:t>
      </w:r>
      <w:r w:rsidRPr="00E116B6" w:rsidR="00E116B6">
        <w:rPr>
          <w:lang w:val="en-GB"/>
        </w:rPr>
        <w:t>’</w:t>
      </w:r>
      <w:r w:rsidRPr="00E116B6" w:rsidR="00082ED1">
        <w:rPr>
          <w:lang w:val="en-GB"/>
        </w:rPr>
        <w:t>s</w:t>
      </w:r>
      <w:r w:rsidRPr="00E116B6" w:rsidR="00673D65">
        <w:rPr>
          <w:lang w:val="en-GB"/>
        </w:rPr>
        <w:t xml:space="preserve"> </w:t>
      </w:r>
      <w:r w:rsidRPr="00E116B6" w:rsidR="00082ED1">
        <w:rPr>
          <w:lang w:val="en-GB"/>
        </w:rPr>
        <w:t xml:space="preserve">lawyer </w:t>
      </w:r>
      <w:r w:rsidRPr="00E116B6" w:rsidR="00673D65">
        <w:rPr>
          <w:lang w:val="en-GB"/>
        </w:rPr>
        <w:t>(</w:t>
      </w:r>
      <w:r w:rsidRPr="00E116B6" w:rsidR="00602719">
        <w:rPr>
          <w:lang w:val="en-GB"/>
        </w:rPr>
        <w:t>see paragraphs</w:t>
      </w:r>
      <w:r w:rsidRPr="00E116B6" w:rsidR="007F65A0">
        <w:rPr>
          <w:lang w:val="en-GB"/>
        </w:rPr>
        <w:t> </w:t>
      </w:r>
      <w:r w:rsidRPr="00E116B6" w:rsidR="00602719">
        <w:rPr>
          <w:lang w:val="en-GB"/>
        </w:rPr>
        <w:fldChar w:fldCharType="begin"/>
      </w:r>
      <w:r w:rsidRPr="00E116B6" w:rsidR="00602719">
        <w:rPr>
          <w:lang w:val="en-GB"/>
        </w:rPr>
        <w:instrText xml:space="preserve"> REF journalisticstart \h </w:instrText>
      </w:r>
      <w:r w:rsidRPr="00E116B6" w:rsidR="00602719">
        <w:rPr>
          <w:lang w:val="en-GB"/>
        </w:rPr>
      </w:r>
      <w:r w:rsidRPr="00E116B6" w:rsidR="00602719">
        <w:rPr>
          <w:lang w:val="en-GB"/>
        </w:rPr>
        <w:fldChar w:fldCharType="separate"/>
      </w:r>
      <w:r w:rsidRPr="00E116B6" w:rsidR="00E116B6">
        <w:rPr>
          <w:noProof/>
          <w:lang w:val="en-GB"/>
        </w:rPr>
        <w:t>83</w:t>
      </w:r>
      <w:r w:rsidRPr="00E116B6" w:rsidR="00602719">
        <w:rPr>
          <w:lang w:val="en-GB"/>
        </w:rPr>
        <w:fldChar w:fldCharType="end"/>
      </w:r>
      <w:r w:rsidRPr="00E116B6" w:rsidR="00B370DE">
        <w:rPr>
          <w:lang w:val="en-GB"/>
        </w:rPr>
        <w:noBreakHyphen/>
      </w:r>
      <w:r w:rsidRPr="00E116B6" w:rsidR="00602719">
        <w:rPr>
          <w:lang w:val="en-GB"/>
        </w:rPr>
        <w:fldChar w:fldCharType="begin"/>
      </w:r>
      <w:r w:rsidRPr="00E116B6" w:rsidR="00602719">
        <w:rPr>
          <w:lang w:val="en-GB"/>
        </w:rPr>
        <w:instrText xml:space="preserve"> REF journalisticfinish \h </w:instrText>
      </w:r>
      <w:r w:rsidRPr="00E116B6" w:rsidR="00602719">
        <w:rPr>
          <w:lang w:val="en-GB"/>
        </w:rPr>
      </w:r>
      <w:r w:rsidRPr="00E116B6" w:rsidR="00602719">
        <w:rPr>
          <w:lang w:val="en-GB"/>
        </w:rPr>
        <w:fldChar w:fldCharType="separate"/>
      </w:r>
      <w:r w:rsidRPr="00E116B6" w:rsidR="00E116B6">
        <w:rPr>
          <w:noProof/>
          <w:lang w:val="en-GB"/>
        </w:rPr>
        <w:t>85</w:t>
      </w:r>
      <w:r w:rsidRPr="00E116B6" w:rsidR="00602719">
        <w:rPr>
          <w:lang w:val="en-GB"/>
        </w:rPr>
        <w:fldChar w:fldCharType="end"/>
      </w:r>
      <w:r w:rsidRPr="00E116B6" w:rsidR="00602719">
        <w:rPr>
          <w:lang w:val="en-GB"/>
        </w:rPr>
        <w:t xml:space="preserve"> </w:t>
      </w:r>
      <w:r w:rsidRPr="00E116B6" w:rsidR="00673D65">
        <w:rPr>
          <w:lang w:val="en-GB"/>
        </w:rPr>
        <w:t xml:space="preserve">below). Those recordings had been played to the trial court judges, </w:t>
      </w:r>
      <w:r w:rsidRPr="00E116B6" w:rsidR="0051541E">
        <w:rPr>
          <w:lang w:val="en-GB"/>
        </w:rPr>
        <w:t xml:space="preserve">but they </w:t>
      </w:r>
      <w:r w:rsidRPr="00E116B6" w:rsidR="00082ED1">
        <w:rPr>
          <w:lang w:val="en-GB"/>
        </w:rPr>
        <w:t xml:space="preserve">had </w:t>
      </w:r>
      <w:r w:rsidRPr="00E116B6" w:rsidR="0051541E">
        <w:rPr>
          <w:lang w:val="en-GB"/>
        </w:rPr>
        <w:t>chose</w:t>
      </w:r>
      <w:r w:rsidRPr="00E116B6" w:rsidR="00082ED1">
        <w:rPr>
          <w:lang w:val="en-GB"/>
        </w:rPr>
        <w:t>n</w:t>
      </w:r>
      <w:r w:rsidRPr="00E116B6" w:rsidR="0051541E">
        <w:rPr>
          <w:lang w:val="en-GB"/>
        </w:rPr>
        <w:t xml:space="preserve"> not to menti</w:t>
      </w:r>
      <w:r w:rsidRPr="00E116B6" w:rsidR="006555F4">
        <w:rPr>
          <w:lang w:val="en-GB"/>
        </w:rPr>
        <w:t xml:space="preserve">on </w:t>
      </w:r>
      <w:r w:rsidRPr="00E116B6" w:rsidR="00673D65">
        <w:rPr>
          <w:lang w:val="en-GB"/>
        </w:rPr>
        <w:t>them in their judgment or take them into considerati</w:t>
      </w:r>
      <w:r w:rsidRPr="00E116B6" w:rsidR="006555F4">
        <w:rPr>
          <w:lang w:val="en-GB"/>
        </w:rPr>
        <w:t xml:space="preserve">on </w:t>
      </w:r>
      <w:r w:rsidRPr="00E116B6" w:rsidR="00673D65">
        <w:rPr>
          <w:lang w:val="en-GB"/>
        </w:rPr>
        <w:t>in any way.</w:t>
      </w:r>
    </w:p>
    <w:p w:rsidRPr="00E116B6" w:rsidR="00AC1180" w:rsidP="00E116B6" w:rsidRDefault="004C4CF3">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80</w:t>
      </w:r>
      <w:r w:rsidRPr="00E116B6">
        <w:rPr>
          <w:lang w:val="en-GB"/>
        </w:rPr>
        <w:fldChar w:fldCharType="end"/>
      </w:r>
      <w:r w:rsidRPr="00E116B6" w:rsidR="006F5A49">
        <w:rPr>
          <w:lang w:val="en-GB"/>
        </w:rPr>
        <w:t>.  The second applicant</w:t>
      </w:r>
      <w:r w:rsidRPr="00E116B6" w:rsidR="00E116B6">
        <w:rPr>
          <w:lang w:val="en-GB"/>
        </w:rPr>
        <w:t>’</w:t>
      </w:r>
      <w:r w:rsidRPr="00E116B6" w:rsidR="00082ED1">
        <w:rPr>
          <w:lang w:val="en-GB"/>
        </w:rPr>
        <w:t>s</w:t>
      </w:r>
      <w:r w:rsidRPr="00E116B6" w:rsidR="006F5A49">
        <w:rPr>
          <w:lang w:val="en-GB"/>
        </w:rPr>
        <w:t xml:space="preserve"> appeal </w:t>
      </w:r>
      <w:r w:rsidRPr="00E116B6" w:rsidR="00082ED1">
        <w:rPr>
          <w:lang w:val="en-GB"/>
        </w:rPr>
        <w:t xml:space="preserve">had </w:t>
      </w:r>
      <w:r w:rsidRPr="00E116B6" w:rsidR="006F5A49">
        <w:rPr>
          <w:lang w:val="en-GB"/>
        </w:rPr>
        <w:t>similar arguments</w:t>
      </w:r>
      <w:r w:rsidRPr="00E116B6" w:rsidR="00570824">
        <w:rPr>
          <w:lang w:val="en-GB"/>
        </w:rPr>
        <w:t xml:space="preserve"> as regards the convicti</w:t>
      </w:r>
      <w:r w:rsidRPr="00E116B6" w:rsidR="006555F4">
        <w:rPr>
          <w:lang w:val="en-GB"/>
        </w:rPr>
        <w:t xml:space="preserve">on </w:t>
      </w:r>
      <w:r w:rsidRPr="00E116B6" w:rsidR="00570824">
        <w:rPr>
          <w:lang w:val="en-GB"/>
        </w:rPr>
        <w:t>for attempted murder</w:t>
      </w:r>
      <w:r w:rsidRPr="00E116B6" w:rsidR="006F5A49">
        <w:rPr>
          <w:lang w:val="en-GB"/>
        </w:rPr>
        <w:t xml:space="preserve">. He specifically complained </w:t>
      </w:r>
      <w:r w:rsidRPr="00E116B6" w:rsidR="00082ED1">
        <w:rPr>
          <w:lang w:val="en-GB"/>
        </w:rPr>
        <w:t xml:space="preserve">that </w:t>
      </w:r>
      <w:r w:rsidRPr="00E116B6" w:rsidR="006F5A49">
        <w:rPr>
          <w:lang w:val="en-GB"/>
        </w:rPr>
        <w:t>whil</w:t>
      </w:r>
      <w:r w:rsidRPr="00E116B6" w:rsidR="00082ED1">
        <w:rPr>
          <w:lang w:val="en-GB"/>
        </w:rPr>
        <w:t>e</w:t>
      </w:r>
      <w:r w:rsidRPr="00E116B6" w:rsidR="006F5A49">
        <w:rPr>
          <w:lang w:val="en-GB"/>
        </w:rPr>
        <w:t xml:space="preserve"> the trial court judges had confirmed his guilt by reference to the record of the </w:t>
      </w:r>
      <w:r w:rsidRPr="00E116B6" w:rsidR="00FC0CEF">
        <w:rPr>
          <w:lang w:val="en-GB"/>
        </w:rPr>
        <w:t>confirmati</w:t>
      </w:r>
      <w:r w:rsidRPr="00E116B6" w:rsidR="006555F4">
        <w:rPr>
          <w:lang w:val="en-GB"/>
        </w:rPr>
        <w:t xml:space="preserve">on </w:t>
      </w:r>
      <w:r w:rsidRPr="00E116B6" w:rsidR="006F5A49">
        <w:rPr>
          <w:lang w:val="en-GB"/>
        </w:rPr>
        <w:t>of the first applicant</w:t>
      </w:r>
      <w:r w:rsidRPr="00E116B6" w:rsidR="00E116B6">
        <w:rPr>
          <w:lang w:val="en-GB"/>
        </w:rPr>
        <w:t>’</w:t>
      </w:r>
      <w:r w:rsidRPr="00E116B6" w:rsidR="006F5A49">
        <w:rPr>
          <w:lang w:val="en-GB"/>
        </w:rPr>
        <w:t>s confessi</w:t>
      </w:r>
      <w:r w:rsidRPr="00E116B6" w:rsidR="006555F4">
        <w:rPr>
          <w:lang w:val="en-GB"/>
        </w:rPr>
        <w:t xml:space="preserve">on </w:t>
      </w:r>
      <w:r w:rsidRPr="00E116B6" w:rsidR="00DD7C0C">
        <w:rPr>
          <w:lang w:val="en-GB"/>
        </w:rPr>
        <w:t>during the reconstructi</w:t>
      </w:r>
      <w:r w:rsidRPr="00E116B6" w:rsidR="006555F4">
        <w:rPr>
          <w:lang w:val="en-GB"/>
        </w:rPr>
        <w:t xml:space="preserve">on </w:t>
      </w:r>
      <w:r w:rsidRPr="00E116B6" w:rsidR="00DD7C0C">
        <w:rPr>
          <w:lang w:val="en-GB"/>
        </w:rPr>
        <w:t>at</w:t>
      </w:r>
      <w:r w:rsidRPr="00E116B6" w:rsidR="006F5A49">
        <w:rPr>
          <w:lang w:val="en-GB"/>
        </w:rPr>
        <w:t xml:space="preserve"> the scene of the crime </w:t>
      </w:r>
      <w:r w:rsidRPr="00E116B6" w:rsidR="006555F4">
        <w:rPr>
          <w:lang w:val="en-GB"/>
        </w:rPr>
        <w:t xml:space="preserve">on </w:t>
      </w:r>
      <w:r w:rsidRPr="00E116B6" w:rsidR="006F5A49">
        <w:rPr>
          <w:lang w:val="en-GB"/>
        </w:rPr>
        <w:t xml:space="preserve">13 May 2004, that specific item of evidence had clearly </w:t>
      </w:r>
      <w:r w:rsidRPr="00E116B6" w:rsidR="00082ED1">
        <w:rPr>
          <w:lang w:val="en-GB"/>
        </w:rPr>
        <w:t xml:space="preserve">been </w:t>
      </w:r>
      <w:r w:rsidRPr="00E116B6" w:rsidR="006F5A49">
        <w:rPr>
          <w:lang w:val="en-GB"/>
        </w:rPr>
        <w:t xml:space="preserve">tainted by the ill-treatment </w:t>
      </w:r>
      <w:r w:rsidRPr="00E116B6" w:rsidR="00082ED1">
        <w:rPr>
          <w:lang w:val="en-GB"/>
        </w:rPr>
        <w:t xml:space="preserve">the first applicant had suffered at </w:t>
      </w:r>
      <w:r w:rsidRPr="00E116B6" w:rsidR="006F5A49">
        <w:rPr>
          <w:lang w:val="en-GB"/>
        </w:rPr>
        <w:t>the hands of the police.</w:t>
      </w:r>
    </w:p>
    <w:p w:rsidRPr="00E116B6" w:rsidR="006F5A49" w:rsidP="00E116B6" w:rsidRDefault="004C4CF3">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81</w:t>
      </w:r>
      <w:r w:rsidRPr="00E116B6">
        <w:rPr>
          <w:lang w:val="en-GB"/>
        </w:rPr>
        <w:fldChar w:fldCharType="end"/>
      </w:r>
      <w:r w:rsidRPr="00E116B6" w:rsidR="006F5A49">
        <w:rPr>
          <w:lang w:val="en-GB"/>
        </w:rPr>
        <w:t xml:space="preserve">.  On 17 July 2007 the Criminal Affairs Chamber of the Supreme Court </w:t>
      </w:r>
      <w:r w:rsidRPr="00E116B6" w:rsidR="00082ED1">
        <w:rPr>
          <w:lang w:val="en-GB"/>
        </w:rPr>
        <w:t xml:space="preserve">dismissed </w:t>
      </w:r>
      <w:r w:rsidRPr="00E116B6" w:rsidR="006F5A49">
        <w:rPr>
          <w:lang w:val="en-GB"/>
        </w:rPr>
        <w:t>the applicants</w:t>
      </w:r>
      <w:r w:rsidRPr="00E116B6" w:rsidR="00E116B6">
        <w:rPr>
          <w:lang w:val="en-GB"/>
        </w:rPr>
        <w:t>’</w:t>
      </w:r>
      <w:r w:rsidRPr="00E116B6" w:rsidR="006F5A49">
        <w:rPr>
          <w:lang w:val="en-GB"/>
        </w:rPr>
        <w:t xml:space="preserve"> appeal</w:t>
      </w:r>
      <w:r w:rsidRPr="00E116B6" w:rsidR="00082ED1">
        <w:rPr>
          <w:lang w:val="en-GB"/>
        </w:rPr>
        <w:t>s</w:t>
      </w:r>
      <w:r w:rsidRPr="00E116B6" w:rsidR="006F5A49">
        <w:rPr>
          <w:lang w:val="en-GB"/>
        </w:rPr>
        <w:t>. As far as the alleged ill</w:t>
      </w:r>
      <w:r w:rsidRPr="00E116B6" w:rsidR="00B370DE">
        <w:rPr>
          <w:lang w:val="en-GB"/>
        </w:rPr>
        <w:noBreakHyphen/>
      </w:r>
      <w:r w:rsidRPr="00E116B6" w:rsidR="006F5A49">
        <w:rPr>
          <w:lang w:val="en-GB"/>
        </w:rPr>
        <w:t xml:space="preserve">treatment was concerned, the criminal chamber affirmed that it was not in dispute that the first applicant had had </w:t>
      </w:r>
      <w:r w:rsidRPr="00E116B6" w:rsidR="009C5BA1">
        <w:rPr>
          <w:lang w:val="en-GB"/>
        </w:rPr>
        <w:t xml:space="preserve">marks </w:t>
      </w:r>
      <w:r w:rsidRPr="00E116B6" w:rsidR="006F5A49">
        <w:rPr>
          <w:lang w:val="en-GB"/>
        </w:rPr>
        <w:t xml:space="preserve">of violence </w:t>
      </w:r>
      <w:r w:rsidRPr="00E116B6" w:rsidR="006555F4">
        <w:rPr>
          <w:lang w:val="en-GB"/>
        </w:rPr>
        <w:t xml:space="preserve">on </w:t>
      </w:r>
      <w:r w:rsidRPr="00E116B6" w:rsidR="006F5A49">
        <w:rPr>
          <w:lang w:val="en-GB"/>
        </w:rPr>
        <w:t xml:space="preserve">his person. Nevertheless, the circumstances under which the injuries had been sustained and who had caused them were not known. The court held that the guilty verdict </w:t>
      </w:r>
      <w:r w:rsidRPr="00E116B6" w:rsidR="00082ED1">
        <w:rPr>
          <w:lang w:val="en-GB"/>
        </w:rPr>
        <w:t xml:space="preserve">against </w:t>
      </w:r>
      <w:r w:rsidRPr="00E116B6" w:rsidR="006F5A49">
        <w:rPr>
          <w:lang w:val="en-GB"/>
        </w:rPr>
        <w:t>both applicants had to be upheld in its entirety. The first and second applicants were convicted, respectively, to</w:t>
      </w:r>
      <w:r w:rsidRPr="00E116B6" w:rsidR="00D95AFD">
        <w:rPr>
          <w:lang w:val="en-GB"/>
        </w:rPr>
        <w:t xml:space="preserve"> </w:t>
      </w:r>
      <w:r w:rsidRPr="00E116B6" w:rsidR="006F5A49">
        <w:rPr>
          <w:lang w:val="en-GB"/>
        </w:rPr>
        <w:t>twenty-one and sixteen years</w:t>
      </w:r>
      <w:r w:rsidRPr="00E116B6" w:rsidR="00E116B6">
        <w:rPr>
          <w:lang w:val="en-GB"/>
        </w:rPr>
        <w:t>’</w:t>
      </w:r>
      <w:r w:rsidRPr="00E116B6" w:rsidR="006F5A49">
        <w:rPr>
          <w:lang w:val="en-GB"/>
        </w:rPr>
        <w:t xml:space="preserve"> imprisonment.</w:t>
      </w:r>
    </w:p>
    <w:p w:rsidRPr="00E116B6" w:rsidR="00D95AFD" w:rsidP="00E116B6" w:rsidRDefault="00D95AFD">
      <w:pPr>
        <w:pStyle w:val="ECHRHeading2"/>
        <w:rPr>
          <w:lang w:val="en-GB"/>
        </w:rPr>
      </w:pPr>
      <w:r w:rsidRPr="00E116B6">
        <w:rPr>
          <w:lang w:val="en-GB"/>
        </w:rPr>
        <w:t>F. Video recording contained in the case file</w:t>
      </w:r>
    </w:p>
    <w:p w:rsidRPr="00E116B6" w:rsidR="00D95AFD" w:rsidP="00E116B6" w:rsidRDefault="00D95AFD">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82</w:t>
      </w:r>
      <w:r w:rsidRPr="00E116B6">
        <w:rPr>
          <w:lang w:val="en-GB"/>
        </w:rPr>
        <w:fldChar w:fldCharType="end"/>
      </w:r>
      <w:r w:rsidRPr="00E116B6">
        <w:rPr>
          <w:lang w:val="en-GB"/>
        </w:rPr>
        <w:t xml:space="preserve">.  The cassette contains a recording of the investigative journalism programme </w:t>
      </w:r>
      <w:r w:rsidRPr="00E116B6">
        <w:rPr>
          <w:i/>
          <w:lang w:val="en-GB"/>
        </w:rPr>
        <w:t>60 minutes</w:t>
      </w:r>
      <w:r w:rsidRPr="00E116B6">
        <w:rPr>
          <w:lang w:val="en-GB"/>
        </w:rPr>
        <w:t xml:space="preserve">. The </w:t>
      </w:r>
      <w:r w:rsidRPr="00E116B6" w:rsidR="00082ED1">
        <w:rPr>
          <w:lang w:val="en-GB"/>
        </w:rPr>
        <w:t xml:space="preserve">recording </w:t>
      </w:r>
      <w:r w:rsidRPr="00E116B6">
        <w:rPr>
          <w:lang w:val="en-GB"/>
        </w:rPr>
        <w:t>in questi</w:t>
      </w:r>
      <w:r w:rsidRPr="00E116B6" w:rsidR="006555F4">
        <w:rPr>
          <w:lang w:val="en-GB"/>
        </w:rPr>
        <w:t xml:space="preserve">on </w:t>
      </w:r>
      <w:r w:rsidRPr="00E116B6">
        <w:rPr>
          <w:lang w:val="en-GB"/>
        </w:rPr>
        <w:t>is about the applicants</w:t>
      </w:r>
      <w:r w:rsidRPr="00E116B6" w:rsidR="00E116B6">
        <w:rPr>
          <w:lang w:val="en-GB"/>
        </w:rPr>
        <w:t>’</w:t>
      </w:r>
      <w:r w:rsidRPr="00E116B6">
        <w:rPr>
          <w:lang w:val="en-GB"/>
        </w:rPr>
        <w:t xml:space="preserve"> case and is entitled “Contract murder, or rigged investigation</w:t>
      </w:r>
      <w:r w:rsidRPr="00E116B6" w:rsidR="00E02668">
        <w:rPr>
          <w:lang w:val="en-GB"/>
        </w:rPr>
        <w:t>?</w:t>
      </w:r>
      <w:r w:rsidRPr="00E116B6">
        <w:rPr>
          <w:lang w:val="en-GB"/>
        </w:rPr>
        <w:t>”</w:t>
      </w:r>
    </w:p>
    <w:bookmarkStart w:name="journalisticstart" w:id="42"/>
    <w:p w:rsidRPr="00E116B6" w:rsidR="00E762B3" w:rsidP="00E116B6" w:rsidRDefault="00D95AFD">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83</w:t>
      </w:r>
      <w:r w:rsidRPr="00E116B6">
        <w:rPr>
          <w:lang w:val="en-GB"/>
        </w:rPr>
        <w:fldChar w:fldCharType="end"/>
      </w:r>
      <w:bookmarkEnd w:id="42"/>
      <w:r w:rsidRPr="00E116B6">
        <w:rPr>
          <w:lang w:val="en-GB"/>
        </w:rPr>
        <w:t>.  </w:t>
      </w:r>
      <w:r w:rsidRPr="00E116B6" w:rsidR="00E762B3">
        <w:rPr>
          <w:lang w:val="en-GB"/>
        </w:rPr>
        <w:t xml:space="preserve">Amongst other </w:t>
      </w:r>
      <w:r w:rsidRPr="00E116B6" w:rsidR="00E02668">
        <w:rPr>
          <w:lang w:val="en-GB"/>
        </w:rPr>
        <w:t>details</w:t>
      </w:r>
      <w:r w:rsidRPr="00E116B6" w:rsidR="00E762B3">
        <w:rPr>
          <w:lang w:val="en-GB"/>
        </w:rPr>
        <w:t>, the programme aired s</w:t>
      </w:r>
      <w:r w:rsidRPr="00E116B6" w:rsidR="000F73FF">
        <w:rPr>
          <w:lang w:val="en-GB"/>
        </w:rPr>
        <w:t xml:space="preserve">ecret </w:t>
      </w:r>
      <w:r w:rsidRPr="00E116B6" w:rsidR="00E762B3">
        <w:rPr>
          <w:lang w:val="en-GB"/>
        </w:rPr>
        <w:t>video</w:t>
      </w:r>
      <w:r w:rsidRPr="00E116B6" w:rsidR="00E02668">
        <w:rPr>
          <w:lang w:val="en-GB"/>
        </w:rPr>
        <w:t>-</w:t>
      </w:r>
      <w:r w:rsidRPr="00E116B6" w:rsidR="000F73FF">
        <w:rPr>
          <w:lang w:val="en-GB"/>
        </w:rPr>
        <w:t>recordings of two meetings between the first applicant</w:t>
      </w:r>
      <w:r w:rsidRPr="00E116B6" w:rsidR="00E116B6">
        <w:rPr>
          <w:lang w:val="en-GB"/>
        </w:rPr>
        <w:t>’</w:t>
      </w:r>
      <w:r w:rsidRPr="00E116B6" w:rsidR="000F73FF">
        <w:rPr>
          <w:lang w:val="en-GB"/>
        </w:rPr>
        <w:t>s wife and the member of parliament</w:t>
      </w:r>
      <w:r w:rsidRPr="00E116B6" w:rsidR="00E116B6">
        <w:rPr>
          <w:lang w:val="en-GB"/>
        </w:rPr>
        <w:t>’</w:t>
      </w:r>
      <w:r w:rsidRPr="00E116B6" w:rsidR="000F73FF">
        <w:rPr>
          <w:lang w:val="en-GB"/>
        </w:rPr>
        <w:t>s lawyer.</w:t>
      </w:r>
    </w:p>
    <w:p w:rsidRPr="00E116B6" w:rsidR="00AC1180" w:rsidP="00E116B6" w:rsidRDefault="00E762B3">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84</w:t>
      </w:r>
      <w:r w:rsidRPr="00E116B6">
        <w:rPr>
          <w:lang w:val="en-GB"/>
        </w:rPr>
        <w:fldChar w:fldCharType="end"/>
      </w:r>
      <w:r w:rsidRPr="00E116B6">
        <w:rPr>
          <w:lang w:val="en-GB"/>
        </w:rPr>
        <w:t>.  </w:t>
      </w:r>
      <w:r w:rsidRPr="00E116B6" w:rsidR="00E02668">
        <w:rPr>
          <w:lang w:val="en-GB"/>
        </w:rPr>
        <w:t>A</w:t>
      </w:r>
      <w:r w:rsidRPr="00E116B6" w:rsidR="000F73FF">
        <w:rPr>
          <w:lang w:val="en-GB"/>
        </w:rPr>
        <w:t xml:space="preserve">t the first meeting, which took </w:t>
      </w:r>
      <w:r w:rsidRPr="00E116B6" w:rsidR="00E02668">
        <w:rPr>
          <w:lang w:val="en-GB"/>
        </w:rPr>
        <w:t xml:space="preserve">place </w:t>
      </w:r>
      <w:r w:rsidRPr="00E116B6" w:rsidR="000F73FF">
        <w:rPr>
          <w:lang w:val="en-GB"/>
        </w:rPr>
        <w:t>a few days before 2 August 2004, the</w:t>
      </w:r>
      <w:r w:rsidRPr="00E116B6">
        <w:rPr>
          <w:lang w:val="en-GB"/>
        </w:rPr>
        <w:t xml:space="preserve"> lawyer</w:t>
      </w:r>
      <w:r w:rsidRPr="00E116B6" w:rsidR="000F73FF">
        <w:rPr>
          <w:lang w:val="en-GB"/>
        </w:rPr>
        <w:t xml:space="preserve"> offered </w:t>
      </w:r>
      <w:r w:rsidRPr="00E116B6" w:rsidR="00E02668">
        <w:rPr>
          <w:lang w:val="en-GB"/>
        </w:rPr>
        <w:t xml:space="preserve">an advance payment to </w:t>
      </w:r>
      <w:r w:rsidRPr="00E116B6" w:rsidR="000F73FF">
        <w:rPr>
          <w:lang w:val="en-GB"/>
        </w:rPr>
        <w:t>the first applicant</w:t>
      </w:r>
      <w:r w:rsidRPr="00E116B6" w:rsidR="00E116B6">
        <w:rPr>
          <w:lang w:val="en-GB"/>
        </w:rPr>
        <w:t>’</w:t>
      </w:r>
      <w:r w:rsidRPr="00E116B6" w:rsidR="000F73FF">
        <w:rPr>
          <w:lang w:val="en-GB"/>
        </w:rPr>
        <w:t>s wife to ensure that her husband replace</w:t>
      </w:r>
      <w:r w:rsidRPr="00E116B6" w:rsidR="00E02668">
        <w:rPr>
          <w:lang w:val="en-GB"/>
        </w:rPr>
        <w:t>d</w:t>
      </w:r>
      <w:r w:rsidRPr="00E116B6" w:rsidR="000F73FF">
        <w:rPr>
          <w:lang w:val="en-GB"/>
        </w:rPr>
        <w:t xml:space="preserve"> </w:t>
      </w:r>
      <w:r w:rsidRPr="00E116B6">
        <w:rPr>
          <w:lang w:val="en-GB"/>
        </w:rPr>
        <w:t>the</w:t>
      </w:r>
      <w:r w:rsidRPr="00E116B6" w:rsidR="000F73FF">
        <w:rPr>
          <w:lang w:val="en-GB"/>
        </w:rPr>
        <w:t xml:space="preserve"> lawyer</w:t>
      </w:r>
      <w:r w:rsidRPr="00E116B6">
        <w:rPr>
          <w:lang w:val="en-GB"/>
        </w:rPr>
        <w:t xml:space="preserve"> </w:t>
      </w:r>
      <w:r w:rsidRPr="00E116B6" w:rsidR="00E02668">
        <w:rPr>
          <w:lang w:val="en-GB"/>
        </w:rPr>
        <w:t xml:space="preserve">he had chosen </w:t>
      </w:r>
      <w:r w:rsidRPr="00E116B6" w:rsidR="000F73FF">
        <w:rPr>
          <w:lang w:val="en-GB"/>
        </w:rPr>
        <w:t xml:space="preserve">with </w:t>
      </w:r>
      <w:r w:rsidRPr="00E116B6" w:rsidR="0051541E">
        <w:rPr>
          <w:lang w:val="en-GB"/>
        </w:rPr>
        <w:t>S</w:t>
      </w:r>
      <w:r w:rsidRPr="00E116B6" w:rsidR="000F73FF">
        <w:rPr>
          <w:lang w:val="en-GB"/>
        </w:rPr>
        <w:t>h.Dz., who was trusted by the member of parliament</w:t>
      </w:r>
      <w:r w:rsidRPr="00E116B6">
        <w:rPr>
          <w:lang w:val="en-GB"/>
        </w:rPr>
        <w:t xml:space="preserve">. It </w:t>
      </w:r>
      <w:r w:rsidRPr="00E116B6" w:rsidR="00E02668">
        <w:rPr>
          <w:lang w:val="en-GB"/>
        </w:rPr>
        <w:t>wa</w:t>
      </w:r>
      <w:r w:rsidRPr="00E116B6">
        <w:rPr>
          <w:lang w:val="en-GB"/>
        </w:rPr>
        <w:t xml:space="preserve">s </w:t>
      </w:r>
      <w:r w:rsidRPr="00E116B6" w:rsidR="000F73FF">
        <w:rPr>
          <w:lang w:val="en-GB"/>
        </w:rPr>
        <w:t xml:space="preserve">with the help of that </w:t>
      </w:r>
      <w:r w:rsidRPr="00E116B6">
        <w:rPr>
          <w:lang w:val="en-GB"/>
        </w:rPr>
        <w:t xml:space="preserve">new </w:t>
      </w:r>
      <w:r w:rsidRPr="00E116B6" w:rsidR="000F73FF">
        <w:rPr>
          <w:lang w:val="en-GB"/>
        </w:rPr>
        <w:t xml:space="preserve">lawyer </w:t>
      </w:r>
      <w:r w:rsidRPr="00E116B6">
        <w:rPr>
          <w:lang w:val="en-GB"/>
        </w:rPr>
        <w:t xml:space="preserve">that </w:t>
      </w:r>
      <w:r w:rsidRPr="00E116B6" w:rsidR="000F73FF">
        <w:rPr>
          <w:lang w:val="en-GB"/>
        </w:rPr>
        <w:t>the applicant</w:t>
      </w:r>
      <w:r w:rsidRPr="00E116B6">
        <w:rPr>
          <w:lang w:val="en-GB"/>
        </w:rPr>
        <w:t xml:space="preserve"> was expected by the member of parliament </w:t>
      </w:r>
      <w:r w:rsidRPr="00E116B6" w:rsidR="000F73FF">
        <w:rPr>
          <w:lang w:val="en-GB"/>
        </w:rPr>
        <w:t xml:space="preserve">to stand by his </w:t>
      </w:r>
      <w:r w:rsidRPr="00E116B6">
        <w:rPr>
          <w:lang w:val="en-GB"/>
        </w:rPr>
        <w:t xml:space="preserve">initial </w:t>
      </w:r>
      <w:r w:rsidRPr="00E116B6" w:rsidR="000F73FF">
        <w:rPr>
          <w:lang w:val="en-GB"/>
        </w:rPr>
        <w:t>confession. The first applicant</w:t>
      </w:r>
      <w:r w:rsidRPr="00E116B6" w:rsidR="00E116B6">
        <w:rPr>
          <w:lang w:val="en-GB"/>
        </w:rPr>
        <w:t>’</w:t>
      </w:r>
      <w:r w:rsidRPr="00E116B6" w:rsidR="000F73FF">
        <w:rPr>
          <w:lang w:val="en-GB"/>
        </w:rPr>
        <w:t xml:space="preserve">s wife replied that </w:t>
      </w:r>
      <w:r w:rsidRPr="00E116B6" w:rsidR="00E02668">
        <w:rPr>
          <w:lang w:val="en-GB"/>
        </w:rPr>
        <w:t>her husband</w:t>
      </w:r>
      <w:r w:rsidRPr="00E116B6" w:rsidR="00E116B6">
        <w:rPr>
          <w:lang w:val="en-GB"/>
        </w:rPr>
        <w:t>’</w:t>
      </w:r>
      <w:r w:rsidRPr="00E116B6" w:rsidR="00E02668">
        <w:rPr>
          <w:lang w:val="en-GB"/>
        </w:rPr>
        <w:t xml:space="preserve">s </w:t>
      </w:r>
      <w:r w:rsidRPr="00E116B6">
        <w:rPr>
          <w:lang w:val="en-GB"/>
        </w:rPr>
        <w:t xml:space="preserve">lawyer </w:t>
      </w:r>
      <w:r w:rsidRPr="00E116B6" w:rsidR="000F73FF">
        <w:rPr>
          <w:lang w:val="en-GB"/>
        </w:rPr>
        <w:t xml:space="preserve">could </w:t>
      </w:r>
      <w:r w:rsidRPr="00E116B6">
        <w:rPr>
          <w:lang w:val="en-GB"/>
        </w:rPr>
        <w:t xml:space="preserve">do the job </w:t>
      </w:r>
      <w:r w:rsidRPr="00E116B6" w:rsidR="00E02668">
        <w:rPr>
          <w:lang w:val="en-GB"/>
        </w:rPr>
        <w:t xml:space="preserve">just </w:t>
      </w:r>
      <w:r w:rsidRPr="00E116B6">
        <w:rPr>
          <w:lang w:val="en-GB"/>
        </w:rPr>
        <w:t xml:space="preserve">as well, but </w:t>
      </w:r>
      <w:r w:rsidRPr="00E116B6" w:rsidR="000F73FF">
        <w:rPr>
          <w:lang w:val="en-GB"/>
        </w:rPr>
        <w:t>the</w:t>
      </w:r>
      <w:r w:rsidRPr="00E116B6">
        <w:rPr>
          <w:lang w:val="en-GB"/>
        </w:rPr>
        <w:t xml:space="preserve"> member of parliament</w:t>
      </w:r>
      <w:r w:rsidRPr="00E116B6" w:rsidR="00E116B6">
        <w:rPr>
          <w:lang w:val="en-GB"/>
        </w:rPr>
        <w:t>’</w:t>
      </w:r>
      <w:r w:rsidRPr="00E116B6">
        <w:rPr>
          <w:lang w:val="en-GB"/>
        </w:rPr>
        <w:t>s</w:t>
      </w:r>
      <w:r w:rsidRPr="00E116B6" w:rsidR="000F73FF">
        <w:rPr>
          <w:lang w:val="en-GB"/>
        </w:rPr>
        <w:t xml:space="preserve"> lawyer </w:t>
      </w:r>
      <w:r w:rsidRPr="00E116B6" w:rsidR="00E02668">
        <w:rPr>
          <w:lang w:val="en-GB"/>
        </w:rPr>
        <w:t xml:space="preserve">stated that that </w:t>
      </w:r>
      <w:r w:rsidRPr="00E116B6">
        <w:rPr>
          <w:lang w:val="en-GB"/>
        </w:rPr>
        <w:t>lawyer could not be trusted in such dealings.</w:t>
      </w:r>
    </w:p>
    <w:bookmarkStart w:name="journalisticfinish" w:id="43"/>
    <w:p w:rsidRPr="00E116B6" w:rsidR="00E762B3" w:rsidP="00E116B6" w:rsidRDefault="000F73FF">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85</w:t>
      </w:r>
      <w:r w:rsidRPr="00E116B6">
        <w:rPr>
          <w:lang w:val="en-GB"/>
        </w:rPr>
        <w:fldChar w:fldCharType="end"/>
      </w:r>
      <w:bookmarkEnd w:id="43"/>
      <w:r w:rsidRPr="00E116B6">
        <w:rPr>
          <w:lang w:val="en-GB"/>
        </w:rPr>
        <w:t xml:space="preserve">.  The secret recording of the second meeting </w:t>
      </w:r>
      <w:r w:rsidRPr="00E116B6" w:rsidR="00E02668">
        <w:rPr>
          <w:lang w:val="en-GB"/>
        </w:rPr>
        <w:t xml:space="preserve">showed </w:t>
      </w:r>
      <w:r w:rsidRPr="00E116B6">
        <w:rPr>
          <w:lang w:val="en-GB"/>
        </w:rPr>
        <w:t xml:space="preserve">how </w:t>
      </w:r>
      <w:r w:rsidRPr="00E116B6" w:rsidR="00E762B3">
        <w:rPr>
          <w:lang w:val="en-GB"/>
        </w:rPr>
        <w:t>S</w:t>
      </w:r>
      <w:r w:rsidRPr="00E116B6">
        <w:rPr>
          <w:lang w:val="en-GB"/>
        </w:rPr>
        <w:t xml:space="preserve">h.Dz., </w:t>
      </w:r>
      <w:r w:rsidRPr="00E116B6" w:rsidR="00E02668">
        <w:rPr>
          <w:lang w:val="en-GB"/>
        </w:rPr>
        <w:t xml:space="preserve">by then </w:t>
      </w:r>
      <w:r w:rsidRPr="00E116B6">
        <w:rPr>
          <w:lang w:val="en-GB"/>
        </w:rPr>
        <w:t xml:space="preserve">appointed </w:t>
      </w:r>
      <w:r w:rsidRPr="00E116B6" w:rsidR="00E02668">
        <w:rPr>
          <w:lang w:val="en-GB"/>
        </w:rPr>
        <w:t>as</w:t>
      </w:r>
      <w:r w:rsidRPr="00E116B6">
        <w:rPr>
          <w:lang w:val="en-GB"/>
        </w:rPr>
        <w:t xml:space="preserve"> the first applicant</w:t>
      </w:r>
      <w:r w:rsidRPr="00E116B6" w:rsidR="00E116B6">
        <w:rPr>
          <w:lang w:val="en-GB"/>
        </w:rPr>
        <w:t>’</w:t>
      </w:r>
      <w:r w:rsidRPr="00E116B6" w:rsidR="00E02668">
        <w:rPr>
          <w:lang w:val="en-GB"/>
        </w:rPr>
        <w:t>s lawyer</w:t>
      </w:r>
      <w:r w:rsidRPr="00E116B6">
        <w:rPr>
          <w:lang w:val="en-GB"/>
        </w:rPr>
        <w:t xml:space="preserve"> </w:t>
      </w:r>
      <w:r w:rsidRPr="00E116B6" w:rsidR="006555F4">
        <w:rPr>
          <w:lang w:val="en-GB"/>
        </w:rPr>
        <w:t xml:space="preserve">on </w:t>
      </w:r>
      <w:r w:rsidRPr="00E116B6">
        <w:rPr>
          <w:lang w:val="en-GB"/>
        </w:rPr>
        <w:t>the advice of the member of parliament</w:t>
      </w:r>
      <w:r w:rsidRPr="00E116B6" w:rsidR="00E116B6">
        <w:rPr>
          <w:lang w:val="en-GB"/>
        </w:rPr>
        <w:t>’</w:t>
      </w:r>
      <w:r w:rsidRPr="00E116B6">
        <w:rPr>
          <w:lang w:val="en-GB"/>
        </w:rPr>
        <w:t>s lawyer, hand</w:t>
      </w:r>
      <w:r w:rsidRPr="00E116B6" w:rsidR="00E02668">
        <w:rPr>
          <w:lang w:val="en-GB"/>
        </w:rPr>
        <w:t>ed</w:t>
      </w:r>
      <w:r w:rsidRPr="00E116B6" w:rsidR="00A023DC">
        <w:rPr>
          <w:lang w:val="en-GB"/>
        </w:rPr>
        <w:t xml:space="preserve"> </w:t>
      </w:r>
      <w:r w:rsidRPr="00E116B6" w:rsidR="00E02668">
        <w:rPr>
          <w:lang w:val="en-GB"/>
        </w:rPr>
        <w:t xml:space="preserve">over </w:t>
      </w:r>
      <w:r w:rsidRPr="00E116B6">
        <w:rPr>
          <w:lang w:val="en-GB"/>
        </w:rPr>
        <w:t>USD 1</w:t>
      </w:r>
      <w:r w:rsidRPr="00E116B6" w:rsidR="00A023DC">
        <w:rPr>
          <w:lang w:val="en-GB"/>
        </w:rPr>
        <w:t>,</w:t>
      </w:r>
      <w:r w:rsidRPr="00E116B6">
        <w:rPr>
          <w:lang w:val="en-GB"/>
        </w:rPr>
        <w:t>500 to the first applicant</w:t>
      </w:r>
      <w:r w:rsidRPr="00E116B6" w:rsidR="00E116B6">
        <w:rPr>
          <w:lang w:val="en-GB"/>
        </w:rPr>
        <w:t>’</w:t>
      </w:r>
      <w:r w:rsidRPr="00E116B6">
        <w:rPr>
          <w:lang w:val="en-GB"/>
        </w:rPr>
        <w:t>s wife</w:t>
      </w:r>
      <w:r w:rsidRPr="00E116B6" w:rsidR="00A023DC">
        <w:rPr>
          <w:lang w:val="en-GB"/>
        </w:rPr>
        <w:t xml:space="preserve"> </w:t>
      </w:r>
      <w:r w:rsidRPr="00E116B6" w:rsidR="006555F4">
        <w:rPr>
          <w:lang w:val="en-GB"/>
        </w:rPr>
        <w:t xml:space="preserve">on </w:t>
      </w:r>
      <w:r w:rsidRPr="00E116B6" w:rsidR="00E02668">
        <w:rPr>
          <w:lang w:val="en-GB"/>
        </w:rPr>
        <w:t xml:space="preserve">behalf of the member of parliament </w:t>
      </w:r>
      <w:r w:rsidRPr="00E116B6" w:rsidR="00A023DC">
        <w:rPr>
          <w:lang w:val="en-GB"/>
        </w:rPr>
        <w:t>(see also paragraph</w:t>
      </w:r>
      <w:r w:rsidRPr="00E116B6" w:rsidR="00602719">
        <w:rPr>
          <w:lang w:val="en-GB"/>
        </w:rPr>
        <w:t xml:space="preserve"> </w:t>
      </w:r>
      <w:r w:rsidRPr="00E116B6" w:rsidR="00602719">
        <w:rPr>
          <w:lang w:val="en-GB"/>
        </w:rPr>
        <w:fldChar w:fldCharType="begin"/>
      </w:r>
      <w:r w:rsidRPr="00E116B6" w:rsidR="00602719">
        <w:rPr>
          <w:lang w:val="en-GB"/>
        </w:rPr>
        <w:instrText xml:space="preserve"> REF downpayment \h </w:instrText>
      </w:r>
      <w:r w:rsidRPr="00E116B6" w:rsidR="00602719">
        <w:rPr>
          <w:lang w:val="en-GB"/>
        </w:rPr>
      </w:r>
      <w:r w:rsidRPr="00E116B6" w:rsidR="00602719">
        <w:rPr>
          <w:lang w:val="en-GB"/>
        </w:rPr>
        <w:fldChar w:fldCharType="separate"/>
      </w:r>
      <w:r w:rsidRPr="00E116B6" w:rsidR="00E116B6">
        <w:rPr>
          <w:noProof/>
          <w:lang w:val="en-GB"/>
        </w:rPr>
        <w:t>37</w:t>
      </w:r>
      <w:r w:rsidRPr="00E116B6" w:rsidR="00602719">
        <w:rPr>
          <w:lang w:val="en-GB"/>
        </w:rPr>
        <w:fldChar w:fldCharType="end"/>
      </w:r>
      <w:r w:rsidRPr="00E116B6" w:rsidR="00602719">
        <w:rPr>
          <w:lang w:val="en-GB"/>
        </w:rPr>
        <w:t xml:space="preserve"> </w:t>
      </w:r>
      <w:r w:rsidRPr="00E116B6" w:rsidR="00A023DC">
        <w:rPr>
          <w:lang w:val="en-GB"/>
        </w:rPr>
        <w:t>above)</w:t>
      </w:r>
      <w:r w:rsidRPr="00E116B6">
        <w:rPr>
          <w:lang w:val="en-GB"/>
        </w:rPr>
        <w:t>.</w:t>
      </w:r>
    </w:p>
    <w:p w:rsidRPr="00E116B6" w:rsidR="00AC1180" w:rsidP="00E116B6" w:rsidRDefault="00014566">
      <w:pPr>
        <w:pStyle w:val="ECHRHeading1"/>
        <w:rPr>
          <w:lang w:val="en-GB"/>
        </w:rPr>
      </w:pPr>
      <w:r w:rsidRPr="00E116B6">
        <w:rPr>
          <w:lang w:val="en-GB"/>
        </w:rPr>
        <w:t>II.  RELEVANT DOMESTIC LAW</w:t>
      </w:r>
      <w:r w:rsidRPr="00E116B6" w:rsidR="00FF7324">
        <w:rPr>
          <w:lang w:val="en-GB"/>
        </w:rPr>
        <w:t xml:space="preserve"> AND INTERNATIONAL DOCUMENTS</w:t>
      </w:r>
    </w:p>
    <w:p w:rsidRPr="00E116B6" w:rsidR="00A023DC" w:rsidP="00E116B6" w:rsidRDefault="006555F4">
      <w:pPr>
        <w:pStyle w:val="ECHRHeading2"/>
        <w:rPr>
          <w:lang w:val="en-GB"/>
        </w:rPr>
      </w:pPr>
      <w:r w:rsidRPr="00E116B6">
        <w:rPr>
          <w:lang w:val="en-GB"/>
        </w:rPr>
        <w:t>A.  </w:t>
      </w:r>
      <w:r w:rsidRPr="00E116B6" w:rsidR="00A023DC">
        <w:rPr>
          <w:lang w:val="en-GB"/>
        </w:rPr>
        <w:t>The Code of Criminal Procedure, in force at the material time</w:t>
      </w:r>
    </w:p>
    <w:bookmarkStart w:name="victimstatus" w:id="44"/>
    <w:p w:rsidRPr="00E116B6" w:rsidR="00A023DC" w:rsidP="00E116B6" w:rsidRDefault="007161B2">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86</w:t>
      </w:r>
      <w:r w:rsidRPr="00E116B6">
        <w:rPr>
          <w:lang w:val="en-GB"/>
        </w:rPr>
        <w:fldChar w:fldCharType="end"/>
      </w:r>
      <w:bookmarkEnd w:id="44"/>
      <w:r w:rsidRPr="00E116B6">
        <w:rPr>
          <w:lang w:val="en-GB"/>
        </w:rPr>
        <w:t>.  </w:t>
      </w:r>
      <w:r w:rsidRPr="00E116B6" w:rsidR="00A023DC">
        <w:rPr>
          <w:lang w:val="en-GB"/>
        </w:rPr>
        <w:t>The most relevant provisions from the Code of Criminal Procedure of 20 February 1998, which was in force at the material time of the events, read as follows:</w:t>
      </w:r>
    </w:p>
    <w:p w:rsidRPr="00E116B6" w:rsidR="002C2368" w:rsidP="00E116B6" w:rsidRDefault="002C2368">
      <w:pPr>
        <w:pStyle w:val="ECHRTitleCentre3"/>
        <w:rPr>
          <w:lang w:val="en-GB"/>
        </w:rPr>
      </w:pPr>
      <w:r w:rsidRPr="00E116B6">
        <w:rPr>
          <w:lang w:val="en-GB"/>
        </w:rPr>
        <w:t xml:space="preserve">Article 69, as amended </w:t>
      </w:r>
      <w:r w:rsidRPr="00E116B6" w:rsidR="006555F4">
        <w:rPr>
          <w:lang w:val="en-GB"/>
        </w:rPr>
        <w:t xml:space="preserve">on </w:t>
      </w:r>
      <w:r w:rsidRPr="00E116B6">
        <w:rPr>
          <w:lang w:val="en-GB"/>
        </w:rPr>
        <w:t>16 December 2005</w:t>
      </w:r>
    </w:p>
    <w:p w:rsidRPr="00E116B6" w:rsidR="002C2368" w:rsidP="00E116B6" w:rsidRDefault="002C2368">
      <w:pPr>
        <w:pStyle w:val="ECHRParaQuote"/>
        <w:rPr>
          <w:lang w:val="en-GB"/>
        </w:rPr>
      </w:pPr>
      <w:r w:rsidRPr="00E116B6">
        <w:rPr>
          <w:lang w:val="en-GB"/>
        </w:rPr>
        <w:t>“A victim ... has the right to: ...;</w:t>
      </w:r>
    </w:p>
    <w:p w:rsidRPr="00E116B6" w:rsidR="002C2368" w:rsidP="00E116B6" w:rsidRDefault="002C2368">
      <w:pPr>
        <w:pStyle w:val="ECHRParaQuote"/>
        <w:rPr>
          <w:lang w:val="en-GB"/>
        </w:rPr>
      </w:pPr>
      <w:r w:rsidRPr="00E116B6">
        <w:rPr>
          <w:lang w:val="en-GB"/>
        </w:rPr>
        <w:t>i) participate in investigative procedures carried out at his or her request;</w:t>
      </w:r>
    </w:p>
    <w:p w:rsidRPr="00E116B6" w:rsidR="002C2368" w:rsidP="00E116B6" w:rsidRDefault="002C2368">
      <w:pPr>
        <w:pStyle w:val="ECHRParaQuote"/>
        <w:rPr>
          <w:lang w:val="en-GB"/>
        </w:rPr>
      </w:pPr>
      <w:r w:rsidRPr="00E116B6">
        <w:rPr>
          <w:lang w:val="en-GB"/>
        </w:rPr>
        <w:t xml:space="preserve">k) acquaint him or herself with a copy of the whole criminal case file and with the evidence after the case </w:t>
      </w:r>
      <w:r w:rsidRPr="00E116B6" w:rsidR="00CA0687">
        <w:rPr>
          <w:lang w:val="en-GB"/>
        </w:rPr>
        <w:t xml:space="preserve">has been </w:t>
      </w:r>
      <w:r w:rsidRPr="00E116B6">
        <w:rPr>
          <w:lang w:val="en-GB"/>
        </w:rPr>
        <w:t>sent for trial. ...”</w:t>
      </w:r>
    </w:p>
    <w:p w:rsidRPr="00E116B6" w:rsidR="00A023DC" w:rsidP="00E116B6" w:rsidRDefault="00A023DC">
      <w:pPr>
        <w:pStyle w:val="ECHRTitleCentre3"/>
        <w:rPr>
          <w:lang w:val="en-GB"/>
        </w:rPr>
      </w:pPr>
      <w:r w:rsidRPr="00E116B6">
        <w:rPr>
          <w:lang w:val="en-GB"/>
        </w:rPr>
        <w:t xml:space="preserve">Article 111 § 1 </w:t>
      </w:r>
      <w:r w:rsidRPr="00E116B6" w:rsidR="009468A0">
        <w:rPr>
          <w:lang w:val="en-GB"/>
        </w:rPr>
        <w:t>(</w:t>
      </w:r>
      <w:r w:rsidRPr="00E116B6">
        <w:rPr>
          <w:lang w:val="en-GB"/>
        </w:rPr>
        <w:t>c)</w:t>
      </w:r>
    </w:p>
    <w:p w:rsidRPr="00E116B6" w:rsidR="00A023DC" w:rsidP="00E116B6" w:rsidRDefault="00A023DC">
      <w:pPr>
        <w:pStyle w:val="ECHRParaQuote"/>
        <w:rPr>
          <w:lang w:val="en-GB"/>
        </w:rPr>
      </w:pPr>
      <w:r w:rsidRPr="00E116B6">
        <w:rPr>
          <w:lang w:val="en-GB"/>
        </w:rPr>
        <w:t xml:space="preserve">“Evidence shall be declared inadmissible if </w:t>
      </w:r>
      <w:r w:rsidRPr="00E116B6" w:rsidR="00AC1180">
        <w:rPr>
          <w:lang w:val="en-GB"/>
        </w:rPr>
        <w:t>...</w:t>
      </w:r>
      <w:r w:rsidRPr="00E116B6">
        <w:rPr>
          <w:lang w:val="en-GB"/>
        </w:rPr>
        <w:t xml:space="preserve"> it has been obtained in violati</w:t>
      </w:r>
      <w:r w:rsidRPr="00E116B6" w:rsidR="006555F4">
        <w:rPr>
          <w:lang w:val="en-GB"/>
        </w:rPr>
        <w:t xml:space="preserve">on </w:t>
      </w:r>
      <w:r w:rsidRPr="00E116B6">
        <w:rPr>
          <w:lang w:val="en-GB"/>
        </w:rPr>
        <w:t>of the procedure established by law or through the use of violence, dishonesty, threats, blackmail, humiliati</w:t>
      </w:r>
      <w:r w:rsidRPr="00E116B6" w:rsidR="006555F4">
        <w:rPr>
          <w:lang w:val="en-GB"/>
        </w:rPr>
        <w:t xml:space="preserve">on </w:t>
      </w:r>
      <w:r w:rsidRPr="00E116B6">
        <w:rPr>
          <w:lang w:val="en-GB"/>
        </w:rPr>
        <w:t>or any other means forbidden by law.”</w:t>
      </w:r>
    </w:p>
    <w:p w:rsidRPr="00E116B6" w:rsidR="00523F00" w:rsidP="00E116B6" w:rsidRDefault="00523F00">
      <w:pPr>
        <w:pStyle w:val="ECHRTitleCentre3"/>
        <w:rPr>
          <w:lang w:val="en-GB"/>
        </w:rPr>
      </w:pPr>
      <w:r w:rsidRPr="00E116B6">
        <w:rPr>
          <w:lang w:val="en-GB"/>
        </w:rPr>
        <w:t xml:space="preserve">Article 163 </w:t>
      </w:r>
      <w:r w:rsidRPr="00E116B6">
        <w:rPr>
          <w:rFonts w:cstheme="minorHAnsi"/>
          <w:lang w:val="en-GB"/>
        </w:rPr>
        <w:t>§</w:t>
      </w:r>
      <w:r w:rsidRPr="00E116B6">
        <w:rPr>
          <w:lang w:val="en-GB"/>
        </w:rPr>
        <w:t xml:space="preserve"> 2</w:t>
      </w:r>
    </w:p>
    <w:p w:rsidRPr="00E116B6" w:rsidR="00523F00" w:rsidP="00E116B6" w:rsidRDefault="00523F00">
      <w:pPr>
        <w:pStyle w:val="ECHRParaQuote"/>
        <w:rPr>
          <w:lang w:val="en-GB"/>
        </w:rPr>
      </w:pPr>
      <w:r w:rsidRPr="00E116B6">
        <w:rPr>
          <w:lang w:val="en-GB"/>
        </w:rPr>
        <w:t>“2. A court has a statutory period of five days for the examinati</w:t>
      </w:r>
      <w:r w:rsidRPr="00E116B6" w:rsidR="006555F4">
        <w:rPr>
          <w:lang w:val="en-GB"/>
        </w:rPr>
        <w:t xml:space="preserve">on </w:t>
      </w:r>
      <w:r w:rsidRPr="00E116B6">
        <w:rPr>
          <w:lang w:val="en-GB"/>
        </w:rPr>
        <w:t>of an applicati</w:t>
      </w:r>
      <w:r w:rsidRPr="00E116B6" w:rsidR="006555F4">
        <w:rPr>
          <w:lang w:val="en-GB"/>
        </w:rPr>
        <w:t xml:space="preserve">on </w:t>
      </w:r>
      <w:r w:rsidRPr="00E116B6">
        <w:rPr>
          <w:lang w:val="en-GB"/>
        </w:rPr>
        <w:t>submitted by a prosecutor for an extensi</w:t>
      </w:r>
      <w:r w:rsidRPr="00E116B6" w:rsidR="006555F4">
        <w:rPr>
          <w:lang w:val="en-GB"/>
        </w:rPr>
        <w:t xml:space="preserve">on </w:t>
      </w:r>
      <w:r w:rsidRPr="00E116B6">
        <w:rPr>
          <w:lang w:val="en-GB"/>
        </w:rPr>
        <w:t xml:space="preserve">of </w:t>
      </w:r>
      <w:r w:rsidRPr="00E116B6" w:rsidR="00144F0E">
        <w:rPr>
          <w:lang w:val="en-GB"/>
        </w:rPr>
        <w:t>the</w:t>
      </w:r>
      <w:r w:rsidRPr="00E116B6">
        <w:rPr>
          <w:lang w:val="en-GB"/>
        </w:rPr>
        <w:t xml:space="preserve"> initial</w:t>
      </w:r>
      <w:r w:rsidRPr="00E116B6" w:rsidR="00144F0E">
        <w:rPr>
          <w:lang w:val="en-GB"/>
        </w:rPr>
        <w:t>ly imposed</w:t>
      </w:r>
      <w:r w:rsidRPr="00E116B6">
        <w:rPr>
          <w:lang w:val="en-GB"/>
        </w:rPr>
        <w:t xml:space="preserve"> period of pre-trial detention. This period starts to run from the moment of receipt of such an applicati</w:t>
      </w:r>
      <w:r w:rsidRPr="00E116B6" w:rsidR="006555F4">
        <w:rPr>
          <w:lang w:val="en-GB"/>
        </w:rPr>
        <w:t xml:space="preserve">on </w:t>
      </w:r>
      <w:r w:rsidRPr="00E116B6">
        <w:rPr>
          <w:lang w:val="en-GB"/>
        </w:rPr>
        <w:t xml:space="preserve">by the court. The </w:t>
      </w:r>
      <w:r w:rsidRPr="00E116B6" w:rsidR="00144F0E">
        <w:rPr>
          <w:lang w:val="en-GB"/>
        </w:rPr>
        <w:t xml:space="preserve">relevant </w:t>
      </w:r>
      <w:r w:rsidRPr="00E116B6">
        <w:rPr>
          <w:lang w:val="en-GB"/>
        </w:rPr>
        <w:t xml:space="preserve">judicial review should be conducted at an oral hearing, attended by both parties </w:t>
      </w:r>
      <w:r w:rsidRPr="00E116B6" w:rsidR="00AC1180">
        <w:rPr>
          <w:lang w:val="en-GB"/>
        </w:rPr>
        <w:t>...</w:t>
      </w:r>
      <w:r w:rsidRPr="00E116B6">
        <w:rPr>
          <w:lang w:val="en-GB"/>
        </w:rPr>
        <w:t>”</w:t>
      </w:r>
    </w:p>
    <w:p w:rsidRPr="00E116B6" w:rsidR="00A023DC" w:rsidP="00E116B6" w:rsidRDefault="00A023DC">
      <w:pPr>
        <w:pStyle w:val="ECHRTitleCentre3"/>
        <w:rPr>
          <w:lang w:val="en-GB"/>
        </w:rPr>
      </w:pPr>
      <w:r w:rsidRPr="00E116B6">
        <w:rPr>
          <w:lang w:val="en-GB"/>
        </w:rPr>
        <w:t>Article 347 § 3</w:t>
      </w:r>
    </w:p>
    <w:p w:rsidRPr="00E116B6" w:rsidR="00A023DC" w:rsidP="00E116B6" w:rsidRDefault="00A023DC">
      <w:pPr>
        <w:pStyle w:val="ECHRParaQuote"/>
        <w:rPr>
          <w:lang w:val="en-GB"/>
        </w:rPr>
      </w:pPr>
      <w:r w:rsidRPr="00E116B6">
        <w:rPr>
          <w:lang w:val="en-GB"/>
        </w:rPr>
        <w:t>“3. The pers</w:t>
      </w:r>
      <w:r w:rsidRPr="00E116B6" w:rsidR="006555F4">
        <w:rPr>
          <w:lang w:val="en-GB"/>
        </w:rPr>
        <w:t xml:space="preserve">on </w:t>
      </w:r>
      <w:r w:rsidRPr="00E116B6">
        <w:rPr>
          <w:lang w:val="en-GB"/>
        </w:rPr>
        <w:t>to be identified shall be presented to the pers</w:t>
      </w:r>
      <w:r w:rsidRPr="00E116B6" w:rsidR="006555F4">
        <w:rPr>
          <w:lang w:val="en-GB"/>
        </w:rPr>
        <w:t xml:space="preserve">on </w:t>
      </w:r>
      <w:r w:rsidRPr="00E116B6">
        <w:rPr>
          <w:lang w:val="en-GB"/>
        </w:rPr>
        <w:t>called up</w:t>
      </w:r>
      <w:r w:rsidRPr="00E116B6" w:rsidR="006555F4">
        <w:rPr>
          <w:lang w:val="en-GB"/>
        </w:rPr>
        <w:t xml:space="preserve">on </w:t>
      </w:r>
      <w:r w:rsidRPr="00E116B6">
        <w:rPr>
          <w:lang w:val="en-GB"/>
        </w:rPr>
        <w:t>to make the identificati</w:t>
      </w:r>
      <w:r w:rsidRPr="00E116B6" w:rsidR="006555F4">
        <w:rPr>
          <w:lang w:val="en-GB"/>
        </w:rPr>
        <w:t xml:space="preserve">on </w:t>
      </w:r>
      <w:r w:rsidRPr="00E116B6">
        <w:rPr>
          <w:lang w:val="en-GB"/>
        </w:rPr>
        <w:t>with three other persons of the same sex who are not markedly different in terms of their appearance or clothing.</w:t>
      </w:r>
      <w:r w:rsidRPr="00E116B6" w:rsidR="009468A0">
        <w:rPr>
          <w:lang w:val="en-GB"/>
        </w:rPr>
        <w:t>”</w:t>
      </w:r>
    </w:p>
    <w:p w:rsidRPr="00E116B6" w:rsidR="00FF7324" w:rsidP="00E116B6" w:rsidRDefault="00FF7324">
      <w:pPr>
        <w:pStyle w:val="ECHRHeading2"/>
        <w:rPr>
          <w:lang w:val="en-GB"/>
        </w:rPr>
      </w:pPr>
      <w:r w:rsidRPr="00E116B6">
        <w:rPr>
          <w:lang w:val="en-GB"/>
        </w:rPr>
        <w:t>B.</w:t>
      </w:r>
      <w:r w:rsidRPr="00E116B6" w:rsidR="006555F4">
        <w:rPr>
          <w:lang w:val="en-GB"/>
        </w:rPr>
        <w:t>  </w:t>
      </w:r>
      <w:r w:rsidRPr="00E116B6" w:rsidR="00DC29ED">
        <w:rPr>
          <w:lang w:val="en-GB"/>
        </w:rPr>
        <w:t xml:space="preserve">Report of the United Nations (UN) Special Rapporteur </w:t>
      </w:r>
      <w:r w:rsidRPr="00E116B6" w:rsidR="006555F4">
        <w:rPr>
          <w:lang w:val="en-GB"/>
        </w:rPr>
        <w:t xml:space="preserve">on </w:t>
      </w:r>
      <w:r w:rsidRPr="00E116B6" w:rsidR="00DC29ED">
        <w:rPr>
          <w:lang w:val="en-GB"/>
        </w:rPr>
        <w:t>torture and other cruel, inhuman or degrading treatment or punishment</w:t>
      </w:r>
    </w:p>
    <w:bookmarkStart w:name="UNstart" w:id="45"/>
    <w:p w:rsidRPr="00E116B6" w:rsidR="00CA0687" w:rsidP="00E116B6" w:rsidRDefault="00FF7324">
      <w:pPr>
        <w:pStyle w:val="ECHRPara"/>
        <w:rPr>
          <w:rFonts w:eastAsiaTheme="minorHAnsi"/>
          <w:lang w:val="en-GB"/>
        </w:rPr>
      </w:pPr>
      <w:r w:rsidRPr="00E116B6">
        <w:rPr>
          <w:rFonts w:eastAsiaTheme="minorHAnsi"/>
          <w:lang w:val="en-GB"/>
        </w:rPr>
        <w:fldChar w:fldCharType="begin"/>
      </w:r>
      <w:r w:rsidRPr="00E116B6">
        <w:rPr>
          <w:rFonts w:eastAsiaTheme="minorHAnsi"/>
          <w:lang w:val="en-GB"/>
        </w:rPr>
        <w:instrText xml:space="preserve"> SEQ level0 \*arabic </w:instrText>
      </w:r>
      <w:r w:rsidRPr="00E116B6">
        <w:rPr>
          <w:rFonts w:eastAsiaTheme="minorHAnsi"/>
          <w:lang w:val="en-GB"/>
        </w:rPr>
        <w:fldChar w:fldCharType="separate"/>
      </w:r>
      <w:r w:rsidRPr="00E116B6" w:rsidR="00E116B6">
        <w:rPr>
          <w:rFonts w:eastAsiaTheme="minorHAnsi"/>
          <w:noProof/>
          <w:lang w:val="en-GB"/>
        </w:rPr>
        <w:t>87</w:t>
      </w:r>
      <w:r w:rsidRPr="00E116B6">
        <w:rPr>
          <w:rFonts w:eastAsiaTheme="minorHAnsi"/>
          <w:lang w:val="en-GB"/>
        </w:rPr>
        <w:fldChar w:fldCharType="end"/>
      </w:r>
      <w:bookmarkEnd w:id="45"/>
      <w:r w:rsidRPr="00E116B6">
        <w:rPr>
          <w:rFonts w:eastAsiaTheme="minorHAnsi"/>
          <w:lang w:val="en-GB"/>
        </w:rPr>
        <w:t>.  In his annual report to the 62</w:t>
      </w:r>
      <w:r w:rsidRPr="00E116B6" w:rsidR="00CA0687">
        <w:rPr>
          <w:rFonts w:eastAsiaTheme="minorHAnsi"/>
          <w:lang w:val="en-GB"/>
        </w:rPr>
        <w:t>nd</w:t>
      </w:r>
      <w:r w:rsidRPr="00E116B6">
        <w:rPr>
          <w:rFonts w:eastAsiaTheme="minorHAnsi"/>
          <w:sz w:val="14"/>
          <w:szCs w:val="14"/>
          <w:lang w:val="en-GB"/>
        </w:rPr>
        <w:t xml:space="preserve"> </w:t>
      </w:r>
      <w:r w:rsidRPr="00E116B6">
        <w:rPr>
          <w:rFonts w:eastAsiaTheme="minorHAnsi"/>
          <w:lang w:val="en-GB"/>
        </w:rPr>
        <w:t>Commissi</w:t>
      </w:r>
      <w:r w:rsidRPr="00E116B6" w:rsidR="006555F4">
        <w:rPr>
          <w:rFonts w:eastAsiaTheme="minorHAnsi"/>
          <w:lang w:val="en-GB"/>
        </w:rPr>
        <w:t xml:space="preserve">on on </w:t>
      </w:r>
      <w:r w:rsidRPr="00E116B6" w:rsidR="00CA0687">
        <w:rPr>
          <w:rFonts w:eastAsiaTheme="minorHAnsi"/>
          <w:lang w:val="en-GB"/>
        </w:rPr>
        <w:t>H</w:t>
      </w:r>
      <w:r w:rsidRPr="00E116B6">
        <w:rPr>
          <w:rFonts w:eastAsiaTheme="minorHAnsi"/>
          <w:lang w:val="en-GB"/>
        </w:rPr>
        <w:t xml:space="preserve">uman </w:t>
      </w:r>
      <w:r w:rsidRPr="00E116B6" w:rsidR="00CA0687">
        <w:rPr>
          <w:rFonts w:eastAsiaTheme="minorHAnsi"/>
          <w:lang w:val="en-GB"/>
        </w:rPr>
        <w:t>R</w:t>
      </w:r>
      <w:r w:rsidRPr="00E116B6">
        <w:rPr>
          <w:rFonts w:eastAsiaTheme="minorHAnsi"/>
          <w:lang w:val="en-GB"/>
        </w:rPr>
        <w:t>ights</w:t>
      </w:r>
      <w:r w:rsidRPr="00E116B6" w:rsidR="00DC29ED">
        <w:rPr>
          <w:rFonts w:eastAsiaTheme="minorHAnsi"/>
          <w:lang w:val="en-GB"/>
        </w:rPr>
        <w:t>, published in September 2005</w:t>
      </w:r>
      <w:r w:rsidRPr="00E116B6">
        <w:rPr>
          <w:rFonts w:eastAsiaTheme="minorHAnsi"/>
          <w:lang w:val="en-GB"/>
        </w:rPr>
        <w:t xml:space="preserve"> following a missi</w:t>
      </w:r>
      <w:r w:rsidRPr="00E116B6" w:rsidR="006555F4">
        <w:rPr>
          <w:rFonts w:eastAsiaTheme="minorHAnsi"/>
          <w:lang w:val="en-GB"/>
        </w:rPr>
        <w:t xml:space="preserve">on </w:t>
      </w:r>
      <w:r w:rsidRPr="00E116B6">
        <w:rPr>
          <w:rFonts w:eastAsiaTheme="minorHAnsi"/>
          <w:lang w:val="en-GB"/>
        </w:rPr>
        <w:t xml:space="preserve">to Georgia, the </w:t>
      </w:r>
      <w:r w:rsidRPr="00E116B6" w:rsidR="00DC29ED">
        <w:rPr>
          <w:rFonts w:eastAsiaTheme="minorHAnsi"/>
          <w:lang w:val="en-GB"/>
        </w:rPr>
        <w:t xml:space="preserve">UN </w:t>
      </w:r>
      <w:r w:rsidRPr="00E116B6">
        <w:rPr>
          <w:rFonts w:eastAsiaTheme="minorHAnsi"/>
          <w:lang w:val="en-GB"/>
        </w:rPr>
        <w:t xml:space="preserve">Special Rapporteur </w:t>
      </w:r>
      <w:r w:rsidRPr="00E116B6" w:rsidR="006555F4">
        <w:rPr>
          <w:rFonts w:eastAsiaTheme="minorHAnsi"/>
          <w:lang w:val="en-GB"/>
        </w:rPr>
        <w:t xml:space="preserve">on </w:t>
      </w:r>
      <w:r w:rsidRPr="00E116B6">
        <w:rPr>
          <w:rFonts w:eastAsiaTheme="minorHAnsi"/>
          <w:lang w:val="en-GB"/>
        </w:rPr>
        <w:t>torture and other cruel, inhuman or degrading treatment or punishment, declared</w:t>
      </w:r>
      <w:r w:rsidRPr="00E116B6" w:rsidR="00CA0687">
        <w:rPr>
          <w:rFonts w:eastAsiaTheme="minorHAnsi"/>
          <w:lang w:val="en-GB"/>
        </w:rPr>
        <w:t>:</w:t>
      </w:r>
    </w:p>
    <w:p w:rsidRPr="00E116B6" w:rsidR="00FF7324" w:rsidP="00E116B6" w:rsidRDefault="00FF7324">
      <w:pPr>
        <w:pStyle w:val="ECHRParaQuote"/>
        <w:rPr>
          <w:rFonts w:eastAsiaTheme="minorHAnsi"/>
          <w:lang w:val="en-GB"/>
        </w:rPr>
      </w:pPr>
      <w:r w:rsidRPr="00E116B6">
        <w:rPr>
          <w:rFonts w:eastAsiaTheme="minorHAnsi"/>
          <w:lang w:val="en-GB"/>
        </w:rPr>
        <w:t>“</w:t>
      </w:r>
      <w:r w:rsidRPr="00E116B6" w:rsidR="00AC1180">
        <w:rPr>
          <w:rFonts w:eastAsiaTheme="minorHAnsi"/>
          <w:lang w:val="en-GB"/>
        </w:rPr>
        <w:t>...</w:t>
      </w:r>
      <w:r w:rsidRPr="00E116B6" w:rsidR="00CA0687">
        <w:rPr>
          <w:rFonts w:eastAsiaTheme="minorHAnsi"/>
          <w:lang w:val="en-GB"/>
        </w:rPr>
        <w:t xml:space="preserve"> </w:t>
      </w:r>
      <w:r w:rsidRPr="00E116B6">
        <w:rPr>
          <w:rFonts w:eastAsiaTheme="minorHAnsi"/>
          <w:lang w:val="en-GB"/>
        </w:rPr>
        <w:t>torture and ill-treatment by law enforcement officials still exist in Georgia</w:t>
      </w:r>
      <w:r w:rsidRPr="00E116B6" w:rsidR="00CA0687">
        <w:rPr>
          <w:rFonts w:eastAsiaTheme="minorHAnsi"/>
          <w:lang w:val="en-GB"/>
        </w:rPr>
        <w:t xml:space="preserve"> ... </w:t>
      </w:r>
      <w:r w:rsidRPr="00E116B6">
        <w:rPr>
          <w:rFonts w:eastAsiaTheme="minorHAnsi"/>
          <w:lang w:val="en-GB"/>
        </w:rPr>
        <w:t>the methods of torture included beatings with fists, butts of guns and truncheons and the use of electric shocks, and cigarette burns; injuries sustained by the victims included, among other things, broken bones, cigarette burns, scars, as well as neuropsychological changes</w:t>
      </w:r>
      <w:r w:rsidRPr="00E116B6" w:rsidR="00CA0687">
        <w:rPr>
          <w:rFonts w:eastAsiaTheme="minorHAnsi"/>
          <w:lang w:val="en-GB"/>
        </w:rPr>
        <w:t>.</w:t>
      </w:r>
      <w:r w:rsidRPr="00E116B6">
        <w:rPr>
          <w:rFonts w:eastAsiaTheme="minorHAnsi"/>
          <w:lang w:val="en-GB"/>
        </w:rPr>
        <w:t>”</w:t>
      </w:r>
    </w:p>
    <w:p w:rsidRPr="00E116B6" w:rsidR="00CA0687" w:rsidP="00E116B6" w:rsidRDefault="00FF7324">
      <w:pPr>
        <w:pStyle w:val="ECHRPara"/>
        <w:rPr>
          <w:rFonts w:eastAsiaTheme="minorHAnsi"/>
          <w:lang w:val="en-GB"/>
        </w:rPr>
      </w:pPr>
      <w:r w:rsidRPr="00E116B6">
        <w:rPr>
          <w:rFonts w:eastAsiaTheme="minorHAnsi"/>
          <w:lang w:val="en-GB"/>
        </w:rPr>
        <w:fldChar w:fldCharType="begin"/>
      </w:r>
      <w:r w:rsidRPr="00E116B6">
        <w:rPr>
          <w:rFonts w:eastAsiaTheme="minorHAnsi"/>
          <w:lang w:val="en-GB"/>
        </w:rPr>
        <w:instrText xml:space="preserve"> SEQ level0 \*arabic </w:instrText>
      </w:r>
      <w:r w:rsidRPr="00E116B6">
        <w:rPr>
          <w:rFonts w:eastAsiaTheme="minorHAnsi"/>
          <w:lang w:val="en-GB"/>
        </w:rPr>
        <w:fldChar w:fldCharType="separate"/>
      </w:r>
      <w:r w:rsidRPr="00E116B6" w:rsidR="00E116B6">
        <w:rPr>
          <w:rFonts w:eastAsiaTheme="minorHAnsi"/>
          <w:noProof/>
          <w:lang w:val="en-GB"/>
        </w:rPr>
        <w:t>88</w:t>
      </w:r>
      <w:r w:rsidRPr="00E116B6">
        <w:rPr>
          <w:rFonts w:eastAsiaTheme="minorHAnsi"/>
          <w:lang w:val="en-GB"/>
        </w:rPr>
        <w:fldChar w:fldCharType="end"/>
      </w:r>
      <w:r w:rsidRPr="00E116B6">
        <w:rPr>
          <w:rFonts w:eastAsiaTheme="minorHAnsi"/>
          <w:lang w:val="en-GB"/>
        </w:rPr>
        <w:t xml:space="preserve">.  During </w:t>
      </w:r>
      <w:r w:rsidRPr="00E116B6" w:rsidR="00CA0687">
        <w:rPr>
          <w:rFonts w:eastAsiaTheme="minorHAnsi"/>
          <w:lang w:val="en-GB"/>
        </w:rPr>
        <w:t>a</w:t>
      </w:r>
      <w:r w:rsidRPr="00E116B6">
        <w:rPr>
          <w:rFonts w:eastAsiaTheme="minorHAnsi"/>
          <w:lang w:val="en-GB"/>
        </w:rPr>
        <w:t xml:space="preserve"> missi</w:t>
      </w:r>
      <w:r w:rsidRPr="00E116B6" w:rsidR="006555F4">
        <w:rPr>
          <w:rFonts w:eastAsiaTheme="minorHAnsi"/>
          <w:lang w:val="en-GB"/>
        </w:rPr>
        <w:t xml:space="preserve">on </w:t>
      </w:r>
      <w:r w:rsidRPr="00E116B6">
        <w:rPr>
          <w:rFonts w:eastAsiaTheme="minorHAnsi"/>
          <w:lang w:val="en-GB"/>
        </w:rPr>
        <w:t>to Georgia</w:t>
      </w:r>
      <w:r w:rsidRPr="00E116B6" w:rsidR="00DC29ED">
        <w:rPr>
          <w:rFonts w:eastAsiaTheme="minorHAnsi"/>
          <w:lang w:val="en-GB"/>
        </w:rPr>
        <w:t xml:space="preserve"> which took place between 19 and 25</w:t>
      </w:r>
      <w:r w:rsidRPr="00E116B6" w:rsidR="0000400E">
        <w:rPr>
          <w:rFonts w:eastAsiaTheme="minorHAnsi"/>
          <w:lang w:val="en-GB"/>
        </w:rPr>
        <w:t> </w:t>
      </w:r>
      <w:r w:rsidRPr="00E116B6" w:rsidR="00DC29ED">
        <w:rPr>
          <w:rFonts w:eastAsiaTheme="minorHAnsi"/>
          <w:lang w:val="en-GB"/>
        </w:rPr>
        <w:t>February 2005</w:t>
      </w:r>
      <w:r w:rsidRPr="00E116B6">
        <w:rPr>
          <w:rFonts w:eastAsiaTheme="minorHAnsi"/>
          <w:lang w:val="en-GB"/>
        </w:rPr>
        <w:t>, the Special Rapporteur met several detainees and concluded from the interviews that the</w:t>
      </w:r>
      <w:r w:rsidRPr="00E116B6" w:rsidR="00CA0687">
        <w:rPr>
          <w:rFonts w:eastAsiaTheme="minorHAnsi"/>
          <w:lang w:val="en-GB"/>
        </w:rPr>
        <w:t xml:space="preserve">y had been </w:t>
      </w:r>
      <w:r w:rsidRPr="00E116B6" w:rsidR="00DC29ED">
        <w:rPr>
          <w:rFonts w:eastAsiaTheme="minorHAnsi"/>
          <w:lang w:val="en-GB"/>
        </w:rPr>
        <w:t>ill-treated</w:t>
      </w:r>
      <w:r w:rsidRPr="00E116B6">
        <w:rPr>
          <w:rFonts w:eastAsiaTheme="minorHAnsi"/>
          <w:lang w:val="en-GB"/>
        </w:rPr>
        <w:t xml:space="preserve"> to obtain confessions. He stated</w:t>
      </w:r>
      <w:r w:rsidRPr="00E116B6" w:rsidR="00CA0687">
        <w:rPr>
          <w:rFonts w:eastAsiaTheme="minorHAnsi"/>
          <w:lang w:val="en-GB"/>
        </w:rPr>
        <w:t>:</w:t>
      </w:r>
    </w:p>
    <w:p w:rsidRPr="00E116B6" w:rsidR="00CA0687" w:rsidP="00E116B6" w:rsidRDefault="00FF7324">
      <w:pPr>
        <w:pStyle w:val="ECHRParaQuote"/>
        <w:rPr>
          <w:rFonts w:eastAsiaTheme="minorHAnsi"/>
          <w:lang w:val="en-GB"/>
        </w:rPr>
      </w:pPr>
      <w:r w:rsidRPr="00E116B6">
        <w:rPr>
          <w:rFonts w:eastAsiaTheme="minorHAnsi"/>
          <w:lang w:val="en-GB"/>
        </w:rPr>
        <w:t>“</w:t>
      </w:r>
      <w:r w:rsidRPr="00E116B6" w:rsidR="00AC1180">
        <w:rPr>
          <w:rFonts w:eastAsiaTheme="minorHAnsi"/>
          <w:lang w:val="en-GB"/>
        </w:rPr>
        <w:t>...</w:t>
      </w:r>
      <w:r w:rsidRPr="00E116B6" w:rsidR="006555F4">
        <w:rPr>
          <w:rFonts w:eastAsiaTheme="minorHAnsi"/>
          <w:lang w:val="en-GB"/>
        </w:rPr>
        <w:t xml:space="preserve"> </w:t>
      </w:r>
      <w:r w:rsidRPr="00E116B6">
        <w:rPr>
          <w:rFonts w:eastAsiaTheme="minorHAnsi"/>
          <w:lang w:val="en-GB"/>
        </w:rPr>
        <w:t>their injuries were still visible at the time of the meetings, and had been well documented by independent forensic experts. As was evident to the Special Rapporteur from meetings, these persons continued to suffer from the effects of torture and were in need of appropriate medical treatment and rehabilitation, which they were not receiving</w:t>
      </w:r>
      <w:r w:rsidRPr="00E116B6" w:rsidR="00CA0687">
        <w:rPr>
          <w:rFonts w:eastAsiaTheme="minorHAnsi"/>
          <w:lang w:val="en-GB"/>
        </w:rPr>
        <w:t>.</w:t>
      </w:r>
      <w:r w:rsidRPr="00E116B6">
        <w:rPr>
          <w:rFonts w:eastAsiaTheme="minorHAnsi"/>
          <w:lang w:val="en-GB"/>
        </w:rPr>
        <w:t>”</w:t>
      </w:r>
    </w:p>
    <w:bookmarkStart w:name="UNfinish" w:id="46"/>
    <w:p w:rsidRPr="00E116B6" w:rsidR="00AC1180" w:rsidP="00E116B6" w:rsidRDefault="00FF7324">
      <w:pPr>
        <w:pStyle w:val="ECHRPara"/>
        <w:rPr>
          <w:rFonts w:eastAsiaTheme="minorHAnsi"/>
          <w:lang w:val="en-GB"/>
        </w:rPr>
      </w:pPr>
      <w:r w:rsidRPr="00E116B6">
        <w:rPr>
          <w:rFonts w:eastAsiaTheme="minorHAnsi"/>
          <w:lang w:val="en-GB"/>
        </w:rPr>
        <w:fldChar w:fldCharType="begin"/>
      </w:r>
      <w:r w:rsidRPr="00E116B6">
        <w:rPr>
          <w:rFonts w:eastAsiaTheme="minorHAnsi"/>
          <w:lang w:val="en-GB"/>
        </w:rPr>
        <w:instrText xml:space="preserve"> SEQ level0 \*arabic </w:instrText>
      </w:r>
      <w:r w:rsidRPr="00E116B6">
        <w:rPr>
          <w:rFonts w:eastAsiaTheme="minorHAnsi"/>
          <w:lang w:val="en-GB"/>
        </w:rPr>
        <w:fldChar w:fldCharType="separate"/>
      </w:r>
      <w:r w:rsidRPr="00E116B6" w:rsidR="00E116B6">
        <w:rPr>
          <w:rFonts w:eastAsiaTheme="minorHAnsi"/>
          <w:noProof/>
          <w:lang w:val="en-GB"/>
        </w:rPr>
        <w:t>89</w:t>
      </w:r>
      <w:r w:rsidRPr="00E116B6">
        <w:rPr>
          <w:rFonts w:eastAsiaTheme="minorHAnsi"/>
          <w:lang w:val="en-GB"/>
        </w:rPr>
        <w:fldChar w:fldCharType="end"/>
      </w:r>
      <w:bookmarkEnd w:id="46"/>
      <w:r w:rsidRPr="00E116B6">
        <w:rPr>
          <w:rFonts w:eastAsiaTheme="minorHAnsi"/>
          <w:lang w:val="en-GB"/>
        </w:rPr>
        <w:t>.  Amongst ten cases documented by the Special Rapporteur, the following abstract co</w:t>
      </w:r>
      <w:r w:rsidRPr="00E116B6" w:rsidR="00DC29ED">
        <w:rPr>
          <w:rFonts w:eastAsiaTheme="minorHAnsi"/>
          <w:lang w:val="en-GB"/>
        </w:rPr>
        <w:t>n</w:t>
      </w:r>
      <w:r w:rsidRPr="00E116B6">
        <w:rPr>
          <w:rFonts w:eastAsiaTheme="minorHAnsi"/>
          <w:lang w:val="en-GB"/>
        </w:rPr>
        <w:t>cerned the first applicant</w:t>
      </w:r>
      <w:r w:rsidRPr="00E116B6" w:rsidR="00E116B6">
        <w:rPr>
          <w:rFonts w:eastAsiaTheme="minorHAnsi"/>
          <w:lang w:val="en-GB"/>
        </w:rPr>
        <w:t>’</w:t>
      </w:r>
      <w:r w:rsidRPr="00E116B6">
        <w:rPr>
          <w:rFonts w:eastAsiaTheme="minorHAnsi"/>
          <w:lang w:val="en-GB"/>
        </w:rPr>
        <w:t>s situation:</w:t>
      </w:r>
    </w:p>
    <w:p w:rsidRPr="00E116B6" w:rsidR="00FF7324" w:rsidP="00E116B6" w:rsidRDefault="00FF7324">
      <w:pPr>
        <w:pStyle w:val="ECHRParaQuote"/>
        <w:rPr>
          <w:lang w:val="en-GB"/>
        </w:rPr>
      </w:pPr>
      <w:r w:rsidRPr="00E116B6">
        <w:rPr>
          <w:lang w:val="en-GB"/>
        </w:rPr>
        <w:t>“</w:t>
      </w:r>
      <w:r w:rsidRPr="00E116B6" w:rsidR="007161B2">
        <w:rPr>
          <w:lang w:val="en-GB"/>
        </w:rPr>
        <w:t>[The first applicant]</w:t>
      </w:r>
      <w:r w:rsidRPr="00E116B6">
        <w:rPr>
          <w:lang w:val="en-GB"/>
        </w:rPr>
        <w:t>, aged 27</w:t>
      </w:r>
      <w:r w:rsidRPr="00E116B6" w:rsidR="006555F4">
        <w:rPr>
          <w:lang w:val="en-GB"/>
        </w:rPr>
        <w:t xml:space="preserve"> </w:t>
      </w:r>
      <w:r w:rsidRPr="00E116B6">
        <w:rPr>
          <w:lang w:val="en-GB"/>
        </w:rPr>
        <w:t>...</w:t>
      </w:r>
      <w:r w:rsidRPr="00E116B6" w:rsidR="006555F4">
        <w:rPr>
          <w:lang w:val="en-GB"/>
        </w:rPr>
        <w:t xml:space="preserve"> </w:t>
      </w:r>
      <w:r w:rsidRPr="00E116B6">
        <w:rPr>
          <w:lang w:val="en-GB"/>
        </w:rPr>
        <w:t xml:space="preserve">was arrested </w:t>
      </w:r>
      <w:r w:rsidRPr="00E116B6" w:rsidR="006555F4">
        <w:rPr>
          <w:lang w:val="en-GB"/>
        </w:rPr>
        <w:t xml:space="preserve">on </w:t>
      </w:r>
      <w:r w:rsidRPr="00E116B6">
        <w:rPr>
          <w:lang w:val="en-GB"/>
        </w:rPr>
        <w:t xml:space="preserve">13 May 2004 </w:t>
      </w:r>
      <w:r w:rsidRPr="00E116B6" w:rsidR="006555F4">
        <w:rPr>
          <w:lang w:val="en-GB"/>
        </w:rPr>
        <w:t xml:space="preserve">on </w:t>
      </w:r>
      <w:r w:rsidRPr="00E116B6">
        <w:rPr>
          <w:lang w:val="en-GB"/>
        </w:rPr>
        <w:t>suspici</w:t>
      </w:r>
      <w:r w:rsidRPr="00E116B6" w:rsidR="006555F4">
        <w:rPr>
          <w:lang w:val="en-GB"/>
        </w:rPr>
        <w:t xml:space="preserve">on </w:t>
      </w:r>
      <w:r w:rsidRPr="00E116B6">
        <w:rPr>
          <w:lang w:val="en-GB"/>
        </w:rPr>
        <w:t>of attempted murder. He was brought to the Tbilisi Head Department of Internal Affairs... He refused to confess, and the policemen began to beat him with truncheons, hit him with an ir</w:t>
      </w:r>
      <w:r w:rsidRPr="00E116B6" w:rsidR="006555F4">
        <w:rPr>
          <w:lang w:val="en-GB"/>
        </w:rPr>
        <w:t xml:space="preserve">on </w:t>
      </w:r>
      <w:r w:rsidRPr="00E116B6">
        <w:rPr>
          <w:lang w:val="en-GB"/>
        </w:rPr>
        <w:t>lock in the face, and applied electric shocks to his legs and feet</w:t>
      </w:r>
      <w:r w:rsidRPr="00E116B6" w:rsidR="006555F4">
        <w:rPr>
          <w:lang w:val="en-GB"/>
        </w:rPr>
        <w:t xml:space="preserve"> </w:t>
      </w:r>
      <w:r w:rsidRPr="00E116B6">
        <w:rPr>
          <w:lang w:val="en-GB"/>
        </w:rPr>
        <w:t>...</w:t>
      </w:r>
      <w:r w:rsidRPr="00E116B6" w:rsidR="006555F4">
        <w:rPr>
          <w:lang w:val="en-GB"/>
        </w:rPr>
        <w:t xml:space="preserve"> </w:t>
      </w:r>
      <w:r w:rsidRPr="00E116B6">
        <w:rPr>
          <w:lang w:val="en-GB"/>
        </w:rPr>
        <w:t>The Deputy Minister of Internal Affairs, an investigator of the Public Prosecutor</w:t>
      </w:r>
      <w:r w:rsidRPr="00E116B6" w:rsidR="00E116B6">
        <w:rPr>
          <w:lang w:val="en-GB"/>
        </w:rPr>
        <w:t>’</w:t>
      </w:r>
      <w:r w:rsidRPr="00E116B6">
        <w:rPr>
          <w:lang w:val="en-GB"/>
        </w:rPr>
        <w:t>s Office and a lawyer also participated in the beatings. Among his injuries were a fractured temporal bone and upper jaw. He subsequently developed epilepsy, and he suffers from disturbed sleep, flashbacks, blackouts, loss of vision, memory difficulties, headaches and tremors. On 16 May 2004, he was r</w:t>
      </w:r>
      <w:r w:rsidRPr="00E116B6" w:rsidR="00DC29ED">
        <w:rPr>
          <w:lang w:val="en-GB"/>
        </w:rPr>
        <w:t xml:space="preserve">emanded in pre-trial detention. </w:t>
      </w:r>
      <w:r w:rsidRPr="00E116B6" w:rsidR="00DC29ED">
        <w:rPr>
          <w:rFonts w:ascii="Times New Roman" w:hAnsi="Times New Roman" w:cs="Times New Roman" w:eastAsiaTheme="minorHAnsi"/>
          <w:szCs w:val="24"/>
          <w:lang w:val="en-GB"/>
        </w:rPr>
        <w:t>Up</w:t>
      </w:r>
      <w:r w:rsidRPr="00E116B6" w:rsidR="006555F4">
        <w:rPr>
          <w:rFonts w:ascii="Times New Roman" w:hAnsi="Times New Roman" w:cs="Times New Roman" w:eastAsiaTheme="minorHAnsi"/>
          <w:szCs w:val="24"/>
          <w:lang w:val="en-GB"/>
        </w:rPr>
        <w:t xml:space="preserve">on </w:t>
      </w:r>
      <w:r w:rsidRPr="00E116B6" w:rsidR="00DC29ED">
        <w:rPr>
          <w:rFonts w:ascii="Times New Roman" w:hAnsi="Times New Roman" w:cs="Times New Roman" w:eastAsiaTheme="minorHAnsi"/>
          <w:szCs w:val="24"/>
          <w:lang w:val="en-GB"/>
        </w:rPr>
        <w:t>his transfer, he did not indicate to the doctor at the pris</w:t>
      </w:r>
      <w:r w:rsidRPr="00E116B6" w:rsidR="006555F4">
        <w:rPr>
          <w:rFonts w:ascii="Times New Roman" w:hAnsi="Times New Roman" w:cs="Times New Roman" w:eastAsiaTheme="minorHAnsi"/>
          <w:szCs w:val="24"/>
          <w:lang w:val="en-GB"/>
        </w:rPr>
        <w:t xml:space="preserve">on </w:t>
      </w:r>
      <w:r w:rsidRPr="00E116B6" w:rsidR="00DC29ED">
        <w:rPr>
          <w:rFonts w:ascii="Times New Roman" w:hAnsi="Times New Roman" w:cs="Times New Roman" w:eastAsiaTheme="minorHAnsi"/>
          <w:szCs w:val="24"/>
          <w:lang w:val="en-GB"/>
        </w:rPr>
        <w:t>the nature of his injuries because he was afraid and exhausted. At the request of his lawyer, a criminal case into the torture claim was initiated by the Public Prosecutor</w:t>
      </w:r>
      <w:r w:rsidRPr="00E116B6" w:rsidR="00E116B6">
        <w:rPr>
          <w:rFonts w:ascii="Times New Roman" w:hAnsi="Times New Roman" w:cs="Times New Roman" w:eastAsiaTheme="minorHAnsi"/>
          <w:szCs w:val="24"/>
          <w:lang w:val="en-GB"/>
        </w:rPr>
        <w:t>’</w:t>
      </w:r>
      <w:r w:rsidRPr="00E116B6" w:rsidR="00DC29ED">
        <w:rPr>
          <w:rFonts w:ascii="Times New Roman" w:hAnsi="Times New Roman" w:cs="Times New Roman" w:eastAsiaTheme="minorHAnsi"/>
          <w:szCs w:val="24"/>
          <w:lang w:val="en-GB"/>
        </w:rPr>
        <w:t>s Office and in November 2004, the Office reported that there was no evidence of torture. On appeal, the Tbilisi District Court upheld the appeal, which was confirmed by the Supreme Court in February 2005, and the case</w:t>
      </w:r>
      <w:r w:rsidRPr="00E116B6" w:rsidR="00035D3C">
        <w:rPr>
          <w:rFonts w:ascii="Times New Roman" w:hAnsi="Times New Roman" w:cs="Times New Roman" w:eastAsiaTheme="minorHAnsi"/>
          <w:szCs w:val="24"/>
          <w:lang w:val="en-GB"/>
        </w:rPr>
        <w:t xml:space="preserve"> </w:t>
      </w:r>
      <w:r w:rsidRPr="00E116B6" w:rsidR="00DC29ED">
        <w:rPr>
          <w:rFonts w:ascii="Times New Roman" w:hAnsi="Times New Roman" w:cs="Times New Roman" w:eastAsiaTheme="minorHAnsi"/>
          <w:szCs w:val="24"/>
          <w:lang w:val="en-GB"/>
        </w:rPr>
        <w:t>was returned to the Public Prosecutor to reinvestigate the torture claim.</w:t>
      </w:r>
      <w:r w:rsidRPr="00E116B6" w:rsidR="00035D3C">
        <w:rPr>
          <w:rFonts w:ascii="Times New Roman" w:hAnsi="Times New Roman" w:cs="Times New Roman" w:eastAsiaTheme="minorHAnsi"/>
          <w:szCs w:val="24"/>
          <w:lang w:val="en-GB"/>
        </w:rPr>
        <w:t xml:space="preserve"> </w:t>
      </w:r>
      <w:r w:rsidRPr="00E116B6" w:rsidR="00AC1180">
        <w:rPr>
          <w:rFonts w:ascii="Times New Roman" w:hAnsi="Times New Roman" w:cs="Times New Roman" w:eastAsiaTheme="minorHAnsi"/>
          <w:szCs w:val="24"/>
          <w:lang w:val="en-GB"/>
        </w:rPr>
        <w:t>...</w:t>
      </w:r>
      <w:r w:rsidRPr="00E116B6">
        <w:rPr>
          <w:lang w:val="en-GB"/>
        </w:rPr>
        <w:t>”</w:t>
      </w:r>
    </w:p>
    <w:p w:rsidRPr="00E116B6" w:rsidR="00014566" w:rsidP="00E116B6" w:rsidRDefault="00014566">
      <w:pPr>
        <w:pStyle w:val="ECHRTitle1"/>
        <w:rPr>
          <w:lang w:val="en-GB"/>
        </w:rPr>
      </w:pPr>
      <w:r w:rsidRPr="00E116B6">
        <w:rPr>
          <w:lang w:val="en-GB"/>
        </w:rPr>
        <w:t>THE LAW</w:t>
      </w:r>
    </w:p>
    <w:p w:rsidRPr="00E116B6" w:rsidR="00014566" w:rsidP="00E116B6" w:rsidRDefault="00014566">
      <w:pPr>
        <w:pStyle w:val="ECHRHeading1"/>
        <w:rPr>
          <w:lang w:val="en-GB"/>
        </w:rPr>
      </w:pPr>
      <w:r w:rsidRPr="00E116B6">
        <w:rPr>
          <w:lang w:val="en-GB"/>
        </w:rPr>
        <w:t xml:space="preserve">I.  ALLEGED VIOLATION OF ARTICLE </w:t>
      </w:r>
      <w:r w:rsidRPr="00E116B6" w:rsidR="003B3277">
        <w:rPr>
          <w:lang w:val="en-GB"/>
        </w:rPr>
        <w:t>3</w:t>
      </w:r>
      <w:r w:rsidRPr="00E116B6">
        <w:rPr>
          <w:lang w:val="en-GB"/>
        </w:rPr>
        <w:t xml:space="preserve"> OF THE CONVENTION</w:t>
      </w:r>
    </w:p>
    <w:p w:rsidRPr="00E116B6" w:rsidR="00AC1180" w:rsidP="00E116B6" w:rsidRDefault="005E621D">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90</w:t>
      </w:r>
      <w:r w:rsidRPr="00E116B6">
        <w:rPr>
          <w:lang w:val="en-GB"/>
        </w:rPr>
        <w:fldChar w:fldCharType="end"/>
      </w:r>
      <w:r w:rsidRPr="00E116B6">
        <w:rPr>
          <w:lang w:val="en-GB"/>
        </w:rPr>
        <w:t>.  </w:t>
      </w:r>
      <w:r w:rsidRPr="00E116B6" w:rsidR="00841F19">
        <w:rPr>
          <w:lang w:val="en-GB"/>
        </w:rPr>
        <w:t>Both applicants complained that the conditions of their pre-trial detenti</w:t>
      </w:r>
      <w:r w:rsidRPr="00E116B6" w:rsidR="006555F4">
        <w:rPr>
          <w:lang w:val="en-GB"/>
        </w:rPr>
        <w:t xml:space="preserve">on </w:t>
      </w:r>
      <w:r w:rsidRPr="00E116B6" w:rsidR="00841F19">
        <w:rPr>
          <w:lang w:val="en-GB"/>
        </w:rPr>
        <w:t>in the relevant prisons had been poor</w:t>
      </w:r>
      <w:r w:rsidRPr="00E116B6" w:rsidR="00E46EA5">
        <w:rPr>
          <w:lang w:val="en-GB"/>
        </w:rPr>
        <w:t>.</w:t>
      </w:r>
      <w:r w:rsidRPr="00E116B6" w:rsidR="00841F19">
        <w:rPr>
          <w:lang w:val="en-GB"/>
        </w:rPr>
        <w:t xml:space="preserve"> </w:t>
      </w:r>
      <w:r w:rsidRPr="00E116B6" w:rsidR="00E46EA5">
        <w:rPr>
          <w:lang w:val="en-GB"/>
        </w:rPr>
        <w:t xml:space="preserve">They did not specify what exactly had been deficient in their respective cells from their </w:t>
      </w:r>
      <w:r w:rsidRPr="00E116B6" w:rsidR="009C5BA1">
        <w:rPr>
          <w:lang w:val="en-GB"/>
        </w:rPr>
        <w:t>point of view</w:t>
      </w:r>
      <w:r w:rsidRPr="00E116B6" w:rsidR="00E46EA5">
        <w:rPr>
          <w:lang w:val="en-GB"/>
        </w:rPr>
        <w:t xml:space="preserve">, and in support of their general grievances </w:t>
      </w:r>
      <w:r w:rsidRPr="00E116B6" w:rsidR="009C5BA1">
        <w:rPr>
          <w:lang w:val="en-GB"/>
        </w:rPr>
        <w:t xml:space="preserve">made </w:t>
      </w:r>
      <w:r w:rsidRPr="00E116B6" w:rsidR="00E46EA5">
        <w:rPr>
          <w:lang w:val="en-GB"/>
        </w:rPr>
        <w:t>reference to a number of reports issued by</w:t>
      </w:r>
      <w:r w:rsidRPr="00E116B6" w:rsidR="00E01FB3">
        <w:rPr>
          <w:lang w:val="en-GB"/>
        </w:rPr>
        <w:t xml:space="preserve"> various</w:t>
      </w:r>
      <w:r w:rsidRPr="00E116B6" w:rsidR="00E46EA5">
        <w:rPr>
          <w:lang w:val="en-GB"/>
        </w:rPr>
        <w:t xml:space="preserve"> international and national pris</w:t>
      </w:r>
      <w:r w:rsidRPr="00E116B6" w:rsidR="006555F4">
        <w:rPr>
          <w:lang w:val="en-GB"/>
        </w:rPr>
        <w:t xml:space="preserve">on </w:t>
      </w:r>
      <w:r w:rsidRPr="00E116B6" w:rsidR="00E46EA5">
        <w:rPr>
          <w:lang w:val="en-GB"/>
        </w:rPr>
        <w:t>monitoring bodies</w:t>
      </w:r>
      <w:r w:rsidRPr="00E116B6" w:rsidR="00E01FB3">
        <w:rPr>
          <w:lang w:val="en-GB"/>
        </w:rPr>
        <w:t xml:space="preserve"> </w:t>
      </w:r>
      <w:r w:rsidRPr="00E116B6" w:rsidR="006555F4">
        <w:rPr>
          <w:lang w:val="en-GB"/>
        </w:rPr>
        <w:t xml:space="preserve">on </w:t>
      </w:r>
      <w:r w:rsidRPr="00E116B6" w:rsidR="00E01FB3">
        <w:rPr>
          <w:lang w:val="en-GB"/>
        </w:rPr>
        <w:t xml:space="preserve">the </w:t>
      </w:r>
      <w:r w:rsidRPr="00E116B6" w:rsidR="007A7BEA">
        <w:rPr>
          <w:lang w:val="en-GB"/>
        </w:rPr>
        <w:t>situati</w:t>
      </w:r>
      <w:r w:rsidRPr="00E116B6" w:rsidR="006555F4">
        <w:rPr>
          <w:lang w:val="en-GB"/>
        </w:rPr>
        <w:t xml:space="preserve">on </w:t>
      </w:r>
      <w:r w:rsidRPr="00E116B6" w:rsidR="00A820B6">
        <w:rPr>
          <w:lang w:val="en-GB"/>
        </w:rPr>
        <w:t xml:space="preserve">in </w:t>
      </w:r>
      <w:r w:rsidRPr="00E116B6" w:rsidR="00E01FB3">
        <w:rPr>
          <w:lang w:val="en-GB"/>
        </w:rPr>
        <w:t xml:space="preserve">the </w:t>
      </w:r>
      <w:r w:rsidRPr="00E116B6" w:rsidR="007A7BEA">
        <w:rPr>
          <w:lang w:val="en-GB"/>
        </w:rPr>
        <w:t>Georgian</w:t>
      </w:r>
      <w:r w:rsidRPr="00E116B6" w:rsidR="00E01FB3">
        <w:rPr>
          <w:lang w:val="en-GB"/>
        </w:rPr>
        <w:t xml:space="preserve"> pris</w:t>
      </w:r>
      <w:r w:rsidRPr="00E116B6" w:rsidR="006555F4">
        <w:rPr>
          <w:lang w:val="en-GB"/>
        </w:rPr>
        <w:t xml:space="preserve">on </w:t>
      </w:r>
      <w:r w:rsidRPr="00E116B6" w:rsidR="00E01FB3">
        <w:rPr>
          <w:lang w:val="en-GB"/>
        </w:rPr>
        <w:t>s</w:t>
      </w:r>
      <w:r w:rsidRPr="00E116B6" w:rsidR="00A820B6">
        <w:rPr>
          <w:lang w:val="en-GB"/>
        </w:rPr>
        <w:t xml:space="preserve">ystem </w:t>
      </w:r>
      <w:r w:rsidRPr="00E116B6" w:rsidR="00E01FB3">
        <w:rPr>
          <w:lang w:val="en-GB"/>
        </w:rPr>
        <w:t>at the material time</w:t>
      </w:r>
      <w:r w:rsidRPr="00E116B6" w:rsidR="00E46EA5">
        <w:rPr>
          <w:lang w:val="en-GB"/>
        </w:rPr>
        <w:t>.</w:t>
      </w:r>
    </w:p>
    <w:p w:rsidRPr="00E116B6" w:rsidR="00AC1180" w:rsidP="00E116B6" w:rsidRDefault="005E621D">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91</w:t>
      </w:r>
      <w:r w:rsidRPr="00E116B6">
        <w:rPr>
          <w:lang w:val="en-GB"/>
        </w:rPr>
        <w:fldChar w:fldCharType="end"/>
      </w:r>
      <w:r w:rsidRPr="00E116B6">
        <w:rPr>
          <w:lang w:val="en-GB"/>
        </w:rPr>
        <w:t>.  </w:t>
      </w:r>
      <w:r w:rsidRPr="00E116B6" w:rsidR="00D87AFB">
        <w:rPr>
          <w:lang w:val="en-GB"/>
        </w:rPr>
        <w:t xml:space="preserve">The first </w:t>
      </w:r>
      <w:r w:rsidRPr="00E116B6" w:rsidR="00014566">
        <w:rPr>
          <w:lang w:val="en-GB"/>
        </w:rPr>
        <w:t xml:space="preserve">applicant </w:t>
      </w:r>
      <w:r w:rsidRPr="00E116B6" w:rsidR="00841F19">
        <w:rPr>
          <w:lang w:val="en-GB"/>
        </w:rPr>
        <w:t xml:space="preserve">further </w:t>
      </w:r>
      <w:r w:rsidRPr="00E116B6" w:rsidR="00014566">
        <w:rPr>
          <w:lang w:val="en-GB"/>
        </w:rPr>
        <w:t>complained that</w:t>
      </w:r>
      <w:r w:rsidRPr="00E116B6" w:rsidR="00D87AFB">
        <w:rPr>
          <w:lang w:val="en-GB"/>
        </w:rPr>
        <w:t xml:space="preserve"> he had been subjected to ill-treatment by police officers </w:t>
      </w:r>
      <w:r w:rsidRPr="00E116B6" w:rsidR="00A820B6">
        <w:rPr>
          <w:lang w:val="en-GB"/>
        </w:rPr>
        <w:t xml:space="preserve">while in </w:t>
      </w:r>
      <w:r w:rsidRPr="00E116B6" w:rsidR="00841F19">
        <w:rPr>
          <w:lang w:val="en-GB"/>
        </w:rPr>
        <w:t xml:space="preserve">custody </w:t>
      </w:r>
      <w:r w:rsidRPr="00E116B6" w:rsidR="00A820B6">
        <w:rPr>
          <w:lang w:val="en-GB"/>
        </w:rPr>
        <w:t>at</w:t>
      </w:r>
      <w:r w:rsidRPr="00E116B6" w:rsidR="00841F19">
        <w:rPr>
          <w:lang w:val="en-GB"/>
        </w:rPr>
        <w:t xml:space="preserve"> Tbilisi police headquarters </w:t>
      </w:r>
      <w:r w:rsidRPr="00E116B6" w:rsidR="006555F4">
        <w:rPr>
          <w:lang w:val="en-GB"/>
        </w:rPr>
        <w:t xml:space="preserve">on </w:t>
      </w:r>
      <w:r w:rsidRPr="00E116B6" w:rsidR="00841F19">
        <w:rPr>
          <w:lang w:val="en-GB"/>
        </w:rPr>
        <w:t>13 May 2004</w:t>
      </w:r>
      <w:r w:rsidRPr="00E116B6" w:rsidR="00B4466A">
        <w:rPr>
          <w:lang w:val="en-GB"/>
        </w:rPr>
        <w:t xml:space="preserve"> and that the relevant domestic authorities had failed to investigate the incident.</w:t>
      </w:r>
    </w:p>
    <w:p w:rsidRPr="00E116B6" w:rsidR="00BD03AB" w:rsidP="00E116B6" w:rsidRDefault="00B4466A">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92</w:t>
      </w:r>
      <w:r w:rsidRPr="00E116B6">
        <w:rPr>
          <w:lang w:val="en-GB"/>
        </w:rPr>
        <w:fldChar w:fldCharType="end"/>
      </w:r>
      <w:r w:rsidRPr="00E116B6">
        <w:rPr>
          <w:lang w:val="en-GB"/>
        </w:rPr>
        <w:t>.  The applicants</w:t>
      </w:r>
      <w:r w:rsidRPr="00E116B6" w:rsidR="00841F19">
        <w:rPr>
          <w:lang w:val="en-GB"/>
        </w:rPr>
        <w:t xml:space="preserve"> cited Article 3 of the Convention</w:t>
      </w:r>
      <w:r w:rsidRPr="00E116B6" w:rsidR="00A820B6">
        <w:rPr>
          <w:lang w:val="en-GB"/>
        </w:rPr>
        <w:t>,</w:t>
      </w:r>
      <w:r w:rsidRPr="00E116B6" w:rsidR="00841F19">
        <w:rPr>
          <w:lang w:val="en-GB"/>
        </w:rPr>
        <w:t xml:space="preserve"> which reads as follows:</w:t>
      </w:r>
    </w:p>
    <w:p w:rsidRPr="00E116B6" w:rsidR="00014566" w:rsidP="00E116B6" w:rsidRDefault="00841F19">
      <w:pPr>
        <w:pStyle w:val="ECHRParaQuote"/>
        <w:rPr>
          <w:lang w:val="en-GB"/>
        </w:rPr>
      </w:pPr>
      <w:r w:rsidRPr="00E116B6">
        <w:rPr>
          <w:lang w:val="en-GB"/>
        </w:rPr>
        <w:t>“No one shall be subjected to torture or to inhuman or degrading treatment or punishment.”</w:t>
      </w:r>
    </w:p>
    <w:p w:rsidRPr="00E116B6" w:rsidR="000423E3" w:rsidP="00E116B6" w:rsidRDefault="006555F4">
      <w:pPr>
        <w:pStyle w:val="ECHRHeading2"/>
        <w:rPr>
          <w:lang w:val="en-GB"/>
        </w:rPr>
      </w:pPr>
      <w:r w:rsidRPr="00E116B6">
        <w:rPr>
          <w:lang w:val="en-GB"/>
        </w:rPr>
        <w:t>A.  </w:t>
      </w:r>
      <w:r w:rsidRPr="00E116B6" w:rsidR="00104783">
        <w:rPr>
          <w:lang w:val="en-GB"/>
        </w:rPr>
        <w:t>Admissibility</w:t>
      </w:r>
    </w:p>
    <w:p w:rsidRPr="00E116B6" w:rsidR="00104783" w:rsidP="00E116B6" w:rsidRDefault="006555F4">
      <w:pPr>
        <w:pStyle w:val="ECHRHeading3"/>
        <w:rPr>
          <w:lang w:val="en-GB"/>
        </w:rPr>
      </w:pPr>
      <w:r w:rsidRPr="00E116B6">
        <w:rPr>
          <w:lang w:val="en-GB"/>
        </w:rPr>
        <w:t>1.  </w:t>
      </w:r>
      <w:r w:rsidRPr="00E116B6" w:rsidR="00104783">
        <w:rPr>
          <w:lang w:val="en-GB"/>
        </w:rPr>
        <w:t>As regards the pris</w:t>
      </w:r>
      <w:r w:rsidRPr="00E116B6">
        <w:rPr>
          <w:lang w:val="en-GB"/>
        </w:rPr>
        <w:t xml:space="preserve">on </w:t>
      </w:r>
      <w:r w:rsidRPr="00E116B6" w:rsidR="00104783">
        <w:rPr>
          <w:lang w:val="en-GB"/>
        </w:rPr>
        <w:t>conditions</w:t>
      </w:r>
    </w:p>
    <w:p w:rsidRPr="00E116B6" w:rsidR="000423E3" w:rsidP="00E116B6" w:rsidRDefault="006555F4">
      <w:pPr>
        <w:pStyle w:val="ECHRHeading4"/>
        <w:rPr>
          <w:lang w:val="en-GB"/>
        </w:rPr>
      </w:pPr>
      <w:r w:rsidRPr="00E116B6">
        <w:rPr>
          <w:lang w:val="en-GB"/>
        </w:rPr>
        <w:t>(a)  </w:t>
      </w:r>
      <w:r w:rsidRPr="00E116B6" w:rsidR="000423E3">
        <w:rPr>
          <w:lang w:val="en-GB"/>
        </w:rPr>
        <w:t>The parties</w:t>
      </w:r>
      <w:r w:rsidRPr="00E116B6" w:rsidR="00E116B6">
        <w:rPr>
          <w:lang w:val="en-GB"/>
        </w:rPr>
        <w:t>’</w:t>
      </w:r>
      <w:r w:rsidRPr="00E116B6" w:rsidR="000423E3">
        <w:rPr>
          <w:lang w:val="en-GB"/>
        </w:rPr>
        <w:t xml:space="preserve"> arguments</w:t>
      </w:r>
    </w:p>
    <w:p w:rsidRPr="00E116B6" w:rsidR="00AC1180" w:rsidP="00E116B6" w:rsidRDefault="00570E7B">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93</w:t>
      </w:r>
      <w:r w:rsidRPr="00E116B6">
        <w:rPr>
          <w:lang w:val="en-GB"/>
        </w:rPr>
        <w:fldChar w:fldCharType="end"/>
      </w:r>
      <w:r w:rsidRPr="00E116B6" w:rsidR="00014566">
        <w:rPr>
          <w:lang w:val="en-GB"/>
        </w:rPr>
        <w:t xml:space="preserve">.  The Government </w:t>
      </w:r>
      <w:r w:rsidRPr="00E116B6" w:rsidR="00E46EA5">
        <w:rPr>
          <w:lang w:val="en-GB"/>
        </w:rPr>
        <w:t xml:space="preserve">submitted that apart from a general reference to various reports issued by international and domestic human rights </w:t>
      </w:r>
      <w:r w:rsidRPr="00E116B6" w:rsidR="00E01FB3">
        <w:rPr>
          <w:lang w:val="en-GB"/>
        </w:rPr>
        <w:t>observers</w:t>
      </w:r>
      <w:r w:rsidRPr="00E116B6" w:rsidR="00E46EA5">
        <w:rPr>
          <w:lang w:val="en-GB"/>
        </w:rPr>
        <w:t xml:space="preserve"> </w:t>
      </w:r>
      <w:r w:rsidRPr="00E116B6" w:rsidR="006555F4">
        <w:rPr>
          <w:lang w:val="en-GB"/>
        </w:rPr>
        <w:t xml:space="preserve">on </w:t>
      </w:r>
      <w:r w:rsidRPr="00E116B6" w:rsidR="00E46EA5">
        <w:rPr>
          <w:lang w:val="en-GB"/>
        </w:rPr>
        <w:t>the situati</w:t>
      </w:r>
      <w:r w:rsidRPr="00E116B6" w:rsidR="006555F4">
        <w:rPr>
          <w:lang w:val="en-GB"/>
        </w:rPr>
        <w:t xml:space="preserve">on </w:t>
      </w:r>
      <w:r w:rsidRPr="00E116B6" w:rsidR="00E46EA5">
        <w:rPr>
          <w:lang w:val="en-GB"/>
        </w:rPr>
        <w:t xml:space="preserve">in Georgian prisons at the material time, the applicants had not provided individual accounts of what exactly the material </w:t>
      </w:r>
      <w:r w:rsidRPr="00E116B6" w:rsidR="00E01FB3">
        <w:rPr>
          <w:lang w:val="en-GB"/>
        </w:rPr>
        <w:t>conditions</w:t>
      </w:r>
      <w:r w:rsidRPr="00E116B6" w:rsidR="00E46EA5">
        <w:rPr>
          <w:lang w:val="en-GB"/>
        </w:rPr>
        <w:t xml:space="preserve"> of their detenti</w:t>
      </w:r>
      <w:r w:rsidRPr="00E116B6" w:rsidR="006555F4">
        <w:rPr>
          <w:lang w:val="en-GB"/>
        </w:rPr>
        <w:t xml:space="preserve">on </w:t>
      </w:r>
      <w:r w:rsidRPr="00E116B6" w:rsidR="00E46EA5">
        <w:rPr>
          <w:lang w:val="en-GB"/>
        </w:rPr>
        <w:t>in the relevant prisons had been</w:t>
      </w:r>
      <w:r w:rsidRPr="00E116B6" w:rsidR="00014566">
        <w:rPr>
          <w:lang w:val="en-GB"/>
        </w:rPr>
        <w:t>.</w:t>
      </w:r>
      <w:r w:rsidRPr="00E116B6" w:rsidR="00E46EA5">
        <w:rPr>
          <w:lang w:val="en-GB"/>
        </w:rPr>
        <w:t xml:space="preserve"> </w:t>
      </w:r>
      <w:r w:rsidRPr="00E116B6" w:rsidR="00A820B6">
        <w:rPr>
          <w:lang w:val="en-GB"/>
        </w:rPr>
        <w:t>Accordingly</w:t>
      </w:r>
      <w:r w:rsidRPr="00E116B6" w:rsidR="00E46EA5">
        <w:rPr>
          <w:lang w:val="en-GB"/>
        </w:rPr>
        <w:t xml:space="preserve">, they had not specified in exactly </w:t>
      </w:r>
      <w:r w:rsidRPr="00E116B6" w:rsidR="00A820B6">
        <w:rPr>
          <w:lang w:val="en-GB"/>
        </w:rPr>
        <w:t xml:space="preserve">which </w:t>
      </w:r>
      <w:r w:rsidRPr="00E116B6" w:rsidR="00E46EA5">
        <w:rPr>
          <w:lang w:val="en-GB"/>
        </w:rPr>
        <w:t xml:space="preserve">cells they had been detained, whether those cells had been </w:t>
      </w:r>
      <w:r w:rsidRPr="00E116B6" w:rsidR="00E01FB3">
        <w:rPr>
          <w:lang w:val="en-GB"/>
        </w:rPr>
        <w:t>deficient</w:t>
      </w:r>
      <w:r w:rsidRPr="00E116B6" w:rsidR="00E46EA5">
        <w:rPr>
          <w:lang w:val="en-GB"/>
        </w:rPr>
        <w:t xml:space="preserve"> from a hygien</w:t>
      </w:r>
      <w:r w:rsidRPr="00E116B6" w:rsidR="00B97413">
        <w:rPr>
          <w:lang w:val="en-GB"/>
        </w:rPr>
        <w:t xml:space="preserve">e </w:t>
      </w:r>
      <w:r w:rsidRPr="00E116B6" w:rsidR="00E46EA5">
        <w:rPr>
          <w:lang w:val="en-GB"/>
        </w:rPr>
        <w:t>point of view or overcrowd</w:t>
      </w:r>
      <w:r w:rsidRPr="00E116B6" w:rsidR="00A820B6">
        <w:rPr>
          <w:lang w:val="en-GB"/>
        </w:rPr>
        <w:t>ed</w:t>
      </w:r>
      <w:r w:rsidRPr="00E116B6" w:rsidR="00E46EA5">
        <w:rPr>
          <w:lang w:val="en-GB"/>
        </w:rPr>
        <w:t xml:space="preserve">, whether they had lacked access to fresh air, sunlight </w:t>
      </w:r>
      <w:r w:rsidRPr="00E116B6" w:rsidR="00A820B6">
        <w:rPr>
          <w:lang w:val="en-GB"/>
        </w:rPr>
        <w:t xml:space="preserve">or </w:t>
      </w:r>
      <w:r w:rsidRPr="00E116B6" w:rsidR="00E01FB3">
        <w:rPr>
          <w:lang w:val="en-GB"/>
        </w:rPr>
        <w:t xml:space="preserve">physical exercise, whether they had been denied </w:t>
      </w:r>
      <w:r w:rsidRPr="00E116B6" w:rsidR="00A820B6">
        <w:rPr>
          <w:lang w:val="en-GB"/>
        </w:rPr>
        <w:t xml:space="preserve">their </w:t>
      </w:r>
      <w:r w:rsidRPr="00E116B6" w:rsidR="00E01FB3">
        <w:rPr>
          <w:lang w:val="en-GB"/>
        </w:rPr>
        <w:t>right to family visits, and so on.</w:t>
      </w:r>
    </w:p>
    <w:p w:rsidRPr="00E116B6" w:rsidR="00014566" w:rsidP="00E116B6" w:rsidRDefault="005E621D">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94</w:t>
      </w:r>
      <w:r w:rsidRPr="00E116B6">
        <w:rPr>
          <w:lang w:val="en-GB"/>
        </w:rPr>
        <w:fldChar w:fldCharType="end"/>
      </w:r>
      <w:r w:rsidRPr="00E116B6">
        <w:rPr>
          <w:lang w:val="en-GB"/>
        </w:rPr>
        <w:t>.  </w:t>
      </w:r>
      <w:r w:rsidRPr="00E116B6" w:rsidR="00A820B6">
        <w:rPr>
          <w:lang w:val="en-GB"/>
        </w:rPr>
        <w:t>In contrast</w:t>
      </w:r>
      <w:r w:rsidRPr="00E116B6" w:rsidR="00E01FB3">
        <w:rPr>
          <w:lang w:val="en-GB"/>
        </w:rPr>
        <w:t xml:space="preserve">, the Government submitted letters dated 18 March 2010 from the </w:t>
      </w:r>
      <w:r w:rsidRPr="00E116B6" w:rsidR="00A820B6">
        <w:rPr>
          <w:lang w:val="en-GB"/>
        </w:rPr>
        <w:t>g</w:t>
      </w:r>
      <w:r w:rsidRPr="00E116B6" w:rsidR="00E01FB3">
        <w:rPr>
          <w:lang w:val="en-GB"/>
        </w:rPr>
        <w:t xml:space="preserve">overnors of </w:t>
      </w:r>
      <w:r w:rsidRPr="00E116B6" w:rsidR="00A820B6">
        <w:rPr>
          <w:lang w:val="en-GB"/>
        </w:rPr>
        <w:t>P</w:t>
      </w:r>
      <w:r w:rsidRPr="00E116B6" w:rsidR="00E01FB3">
        <w:rPr>
          <w:lang w:val="en-GB"/>
        </w:rPr>
        <w:t>ris</w:t>
      </w:r>
      <w:r w:rsidRPr="00E116B6" w:rsidR="006555F4">
        <w:rPr>
          <w:lang w:val="en-GB"/>
        </w:rPr>
        <w:t xml:space="preserve">on </w:t>
      </w:r>
      <w:r w:rsidRPr="00E116B6" w:rsidR="00E01FB3">
        <w:rPr>
          <w:lang w:val="en-GB"/>
        </w:rPr>
        <w:t xml:space="preserve">no. 7 and </w:t>
      </w:r>
      <w:r w:rsidRPr="00E116B6" w:rsidR="00A820B6">
        <w:rPr>
          <w:lang w:val="en-GB"/>
        </w:rPr>
        <w:t xml:space="preserve">no. </w:t>
      </w:r>
      <w:r w:rsidRPr="00E116B6" w:rsidR="00E01FB3">
        <w:rPr>
          <w:lang w:val="en-GB"/>
        </w:rPr>
        <w:t>1</w:t>
      </w:r>
      <w:r w:rsidRPr="00E116B6" w:rsidR="00A820B6">
        <w:rPr>
          <w:lang w:val="en-GB"/>
        </w:rPr>
        <w:t>,</w:t>
      </w:r>
      <w:r w:rsidRPr="00E116B6" w:rsidR="00E01FB3">
        <w:rPr>
          <w:lang w:val="en-GB"/>
        </w:rPr>
        <w:t xml:space="preserve"> where the first and second applicants had been</w:t>
      </w:r>
      <w:r w:rsidRPr="00E116B6" w:rsidR="00A820B6">
        <w:rPr>
          <w:lang w:val="en-GB"/>
        </w:rPr>
        <w:t xml:space="preserve"> held</w:t>
      </w:r>
      <w:r w:rsidRPr="00E116B6" w:rsidR="00E01FB3">
        <w:rPr>
          <w:lang w:val="en-GB"/>
        </w:rPr>
        <w:t>, respectively, between 16 May and 26 February 200</w:t>
      </w:r>
      <w:r w:rsidRPr="00E116B6" w:rsidR="002530CA">
        <w:rPr>
          <w:lang w:val="en-GB"/>
        </w:rPr>
        <w:t>4</w:t>
      </w:r>
      <w:r w:rsidRPr="00E116B6" w:rsidR="00E01FB3">
        <w:rPr>
          <w:lang w:val="en-GB"/>
        </w:rPr>
        <w:t>. Those letters</w:t>
      </w:r>
      <w:r w:rsidRPr="00E116B6" w:rsidR="000D0AB5">
        <w:rPr>
          <w:lang w:val="en-GB"/>
        </w:rPr>
        <w:t>,</w:t>
      </w:r>
      <w:r w:rsidRPr="00E116B6" w:rsidR="00E01FB3">
        <w:rPr>
          <w:lang w:val="en-GB"/>
        </w:rPr>
        <w:t xml:space="preserve"> </w:t>
      </w:r>
      <w:r w:rsidRPr="00E116B6" w:rsidR="00B97413">
        <w:rPr>
          <w:lang w:val="en-GB"/>
        </w:rPr>
        <w:t xml:space="preserve">giving </w:t>
      </w:r>
      <w:r w:rsidRPr="00E116B6" w:rsidR="00E01FB3">
        <w:rPr>
          <w:lang w:val="en-GB"/>
        </w:rPr>
        <w:t>the identificati</w:t>
      </w:r>
      <w:r w:rsidRPr="00E116B6" w:rsidR="006555F4">
        <w:rPr>
          <w:lang w:val="en-GB"/>
        </w:rPr>
        <w:t xml:space="preserve">on </w:t>
      </w:r>
      <w:r w:rsidRPr="00E116B6" w:rsidR="00E01FB3">
        <w:rPr>
          <w:lang w:val="en-GB"/>
        </w:rPr>
        <w:t>numbers of the cells in which the applicants had been detained</w:t>
      </w:r>
      <w:r w:rsidRPr="00E116B6" w:rsidR="000D0AB5">
        <w:rPr>
          <w:lang w:val="en-GB"/>
        </w:rPr>
        <w:t>,</w:t>
      </w:r>
      <w:r w:rsidRPr="00E116B6" w:rsidR="00E01FB3">
        <w:rPr>
          <w:lang w:val="en-GB"/>
        </w:rPr>
        <w:t xml:space="preserve"> provided a detailed descripti</w:t>
      </w:r>
      <w:r w:rsidRPr="00E116B6" w:rsidR="006555F4">
        <w:rPr>
          <w:lang w:val="en-GB"/>
        </w:rPr>
        <w:t xml:space="preserve">on </w:t>
      </w:r>
      <w:r w:rsidRPr="00E116B6" w:rsidR="00E01FB3">
        <w:rPr>
          <w:lang w:val="en-GB"/>
        </w:rPr>
        <w:t>of the material conditions therein at the time of the applicants</w:t>
      </w:r>
      <w:r w:rsidRPr="00E116B6" w:rsidR="00E116B6">
        <w:rPr>
          <w:lang w:val="en-GB"/>
        </w:rPr>
        <w:t>’</w:t>
      </w:r>
      <w:r w:rsidRPr="00E116B6" w:rsidR="00E01FB3">
        <w:rPr>
          <w:lang w:val="en-GB"/>
        </w:rPr>
        <w:t xml:space="preserve"> detention. </w:t>
      </w:r>
      <w:r w:rsidRPr="00E116B6" w:rsidR="00A820B6">
        <w:rPr>
          <w:lang w:val="en-GB"/>
        </w:rPr>
        <w:t>In that regard</w:t>
      </w:r>
      <w:r w:rsidRPr="00E116B6" w:rsidR="00E01FB3">
        <w:rPr>
          <w:lang w:val="en-GB"/>
        </w:rPr>
        <w:t>, the first applicant</w:t>
      </w:r>
      <w:r w:rsidRPr="00E116B6" w:rsidR="00E116B6">
        <w:rPr>
          <w:lang w:val="en-GB"/>
        </w:rPr>
        <w:t>’</w:t>
      </w:r>
      <w:r w:rsidRPr="00E116B6" w:rsidR="00E01FB3">
        <w:rPr>
          <w:lang w:val="en-GB"/>
        </w:rPr>
        <w:t xml:space="preserve">s cell had had a window providing </w:t>
      </w:r>
      <w:r w:rsidRPr="00E116B6" w:rsidR="00EB41AE">
        <w:rPr>
          <w:lang w:val="en-GB"/>
        </w:rPr>
        <w:t>access to natural</w:t>
      </w:r>
      <w:r w:rsidRPr="00E116B6" w:rsidR="00E01FB3">
        <w:rPr>
          <w:lang w:val="en-GB"/>
        </w:rPr>
        <w:t xml:space="preserve"> light and fresh air, had been clean and had had a toilet </w:t>
      </w:r>
      <w:r w:rsidRPr="00E116B6" w:rsidR="00EB41AE">
        <w:rPr>
          <w:lang w:val="en-GB"/>
        </w:rPr>
        <w:t xml:space="preserve">in an acceptable state of repair and cleanliness and </w:t>
      </w:r>
      <w:r w:rsidRPr="00E116B6" w:rsidR="00A820B6">
        <w:rPr>
          <w:lang w:val="en-GB"/>
        </w:rPr>
        <w:t xml:space="preserve">which had been </w:t>
      </w:r>
      <w:r w:rsidRPr="00E116B6" w:rsidR="00E01FB3">
        <w:rPr>
          <w:lang w:val="en-GB"/>
        </w:rPr>
        <w:t>duly</w:t>
      </w:r>
      <w:r w:rsidRPr="00E116B6" w:rsidR="000D0AB5">
        <w:rPr>
          <w:lang w:val="en-GB"/>
        </w:rPr>
        <w:t xml:space="preserve"> isolated from the living </w:t>
      </w:r>
      <w:r w:rsidRPr="00E116B6" w:rsidR="00A820B6">
        <w:rPr>
          <w:lang w:val="en-GB"/>
        </w:rPr>
        <w:t>area</w:t>
      </w:r>
      <w:r w:rsidRPr="00E116B6" w:rsidR="000D0AB5">
        <w:rPr>
          <w:lang w:val="en-GB"/>
        </w:rPr>
        <w:t>.</w:t>
      </w:r>
      <w:r w:rsidRPr="00E116B6" w:rsidR="00E01FB3">
        <w:rPr>
          <w:lang w:val="en-GB"/>
        </w:rPr>
        <w:t xml:space="preserve"> </w:t>
      </w:r>
      <w:r w:rsidRPr="00E116B6" w:rsidR="000D0AB5">
        <w:rPr>
          <w:lang w:val="en-GB"/>
        </w:rPr>
        <w:t>T</w:t>
      </w:r>
      <w:r w:rsidRPr="00E116B6" w:rsidR="00E01FB3">
        <w:rPr>
          <w:lang w:val="en-GB"/>
        </w:rPr>
        <w:t xml:space="preserve">he first applicant had had </w:t>
      </w:r>
      <w:r w:rsidRPr="00E116B6" w:rsidR="00A820B6">
        <w:rPr>
          <w:lang w:val="en-GB"/>
        </w:rPr>
        <w:t xml:space="preserve">the </w:t>
      </w:r>
      <w:r w:rsidRPr="00E116B6" w:rsidR="00E01FB3">
        <w:rPr>
          <w:lang w:val="en-GB"/>
        </w:rPr>
        <w:t xml:space="preserve">opportunity to take a shower once a week, </w:t>
      </w:r>
      <w:r w:rsidRPr="00E116B6" w:rsidR="00EB41AE">
        <w:rPr>
          <w:lang w:val="en-GB"/>
        </w:rPr>
        <w:t>had been served a</w:t>
      </w:r>
      <w:r w:rsidRPr="00E116B6" w:rsidR="00E01FB3">
        <w:rPr>
          <w:lang w:val="en-GB"/>
        </w:rPr>
        <w:t xml:space="preserve"> meal three times a day</w:t>
      </w:r>
      <w:r w:rsidRPr="00E116B6" w:rsidR="00EB41AE">
        <w:rPr>
          <w:lang w:val="en-GB"/>
        </w:rPr>
        <w:t>, the quality of which had never been contested by</w:t>
      </w:r>
      <w:r w:rsidRPr="00E116B6" w:rsidR="000D0AB5">
        <w:rPr>
          <w:lang w:val="en-GB"/>
        </w:rPr>
        <w:t xml:space="preserve"> him or</w:t>
      </w:r>
      <w:r w:rsidRPr="00E116B6" w:rsidR="00EB41AE">
        <w:rPr>
          <w:lang w:val="en-GB"/>
        </w:rPr>
        <w:t xml:space="preserve"> any </w:t>
      </w:r>
      <w:r w:rsidRPr="00E116B6" w:rsidR="00A820B6">
        <w:rPr>
          <w:lang w:val="en-GB"/>
        </w:rPr>
        <w:t xml:space="preserve">other </w:t>
      </w:r>
      <w:r w:rsidRPr="00E116B6" w:rsidR="00EB41AE">
        <w:rPr>
          <w:lang w:val="en-GB"/>
        </w:rPr>
        <w:t>prisoner,</w:t>
      </w:r>
      <w:r w:rsidRPr="00E116B6" w:rsidR="00E01FB3">
        <w:rPr>
          <w:lang w:val="en-GB"/>
        </w:rPr>
        <w:t xml:space="preserve"> and had benefited from an hour</w:t>
      </w:r>
      <w:r w:rsidRPr="00E116B6" w:rsidR="00E116B6">
        <w:rPr>
          <w:lang w:val="en-GB"/>
        </w:rPr>
        <w:t>’</w:t>
      </w:r>
      <w:r w:rsidRPr="00E116B6" w:rsidR="00E01FB3">
        <w:rPr>
          <w:lang w:val="en-GB"/>
        </w:rPr>
        <w:t>s daily walk</w:t>
      </w:r>
      <w:r w:rsidRPr="00E116B6" w:rsidR="00EB41AE">
        <w:rPr>
          <w:lang w:val="en-GB"/>
        </w:rPr>
        <w:t xml:space="preserve">, as </w:t>
      </w:r>
      <w:r w:rsidRPr="00E116B6" w:rsidR="00A820B6">
        <w:rPr>
          <w:lang w:val="en-GB"/>
        </w:rPr>
        <w:t xml:space="preserve">provided for </w:t>
      </w:r>
      <w:r w:rsidRPr="00E116B6" w:rsidR="00EB41AE">
        <w:rPr>
          <w:lang w:val="en-GB"/>
        </w:rPr>
        <w:t>by law.</w:t>
      </w:r>
      <w:r w:rsidRPr="00E116B6" w:rsidR="00E01FB3">
        <w:rPr>
          <w:lang w:val="en-GB"/>
        </w:rPr>
        <w:t xml:space="preserve"> The second applicant had been placed in identical cond</w:t>
      </w:r>
      <w:r w:rsidRPr="00E116B6" w:rsidR="00EB41AE">
        <w:rPr>
          <w:lang w:val="en-GB"/>
        </w:rPr>
        <w:t>i</w:t>
      </w:r>
      <w:r w:rsidRPr="00E116B6" w:rsidR="00E01FB3">
        <w:rPr>
          <w:lang w:val="en-GB"/>
        </w:rPr>
        <w:t>tions. It was</w:t>
      </w:r>
      <w:r w:rsidRPr="00E116B6" w:rsidR="00EB41AE">
        <w:rPr>
          <w:lang w:val="en-GB"/>
        </w:rPr>
        <w:t xml:space="preserve"> additionally</w:t>
      </w:r>
      <w:r w:rsidRPr="00E116B6" w:rsidR="00E01FB3">
        <w:rPr>
          <w:lang w:val="en-GB"/>
        </w:rPr>
        <w:t xml:space="preserve"> noted </w:t>
      </w:r>
      <w:r w:rsidRPr="00E116B6" w:rsidR="000D0AB5">
        <w:rPr>
          <w:lang w:val="en-GB"/>
        </w:rPr>
        <w:t>that the latter</w:t>
      </w:r>
      <w:r w:rsidRPr="00E116B6" w:rsidR="00E116B6">
        <w:rPr>
          <w:lang w:val="en-GB"/>
        </w:rPr>
        <w:t>’</w:t>
      </w:r>
      <w:r w:rsidRPr="00E116B6" w:rsidR="000D0AB5">
        <w:rPr>
          <w:lang w:val="en-GB"/>
        </w:rPr>
        <w:t xml:space="preserve">s cell </w:t>
      </w:r>
      <w:r w:rsidRPr="00E116B6" w:rsidR="00E01FB3">
        <w:rPr>
          <w:lang w:val="en-GB"/>
        </w:rPr>
        <w:t xml:space="preserve">had measured 12 square meters, and that </w:t>
      </w:r>
      <w:r w:rsidRPr="00E116B6" w:rsidR="00A820B6">
        <w:rPr>
          <w:lang w:val="en-GB"/>
        </w:rPr>
        <w:t xml:space="preserve">he </w:t>
      </w:r>
      <w:r w:rsidRPr="00E116B6" w:rsidR="00E01FB3">
        <w:rPr>
          <w:lang w:val="en-GB"/>
        </w:rPr>
        <w:t>had had an opportunity to have a conjugal visit once a month.</w:t>
      </w:r>
    </w:p>
    <w:p w:rsidRPr="00E116B6" w:rsidR="00EB41AE" w:rsidP="00E116B6" w:rsidRDefault="00570E7B">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95</w:t>
      </w:r>
      <w:r w:rsidRPr="00E116B6">
        <w:rPr>
          <w:lang w:val="en-GB"/>
        </w:rPr>
        <w:fldChar w:fldCharType="end"/>
      </w:r>
      <w:r w:rsidRPr="00E116B6" w:rsidR="00014566">
        <w:rPr>
          <w:lang w:val="en-GB"/>
        </w:rPr>
        <w:t>.  </w:t>
      </w:r>
      <w:r w:rsidRPr="00E116B6" w:rsidR="00EB41AE">
        <w:rPr>
          <w:lang w:val="en-GB"/>
        </w:rPr>
        <w:t>In reply, the applicants maintained, in general</w:t>
      </w:r>
      <w:r w:rsidRPr="00E116B6" w:rsidR="00B97413">
        <w:rPr>
          <w:lang w:val="en-GB"/>
        </w:rPr>
        <w:t xml:space="preserve"> terms</w:t>
      </w:r>
      <w:r w:rsidRPr="00E116B6" w:rsidR="00EB41AE">
        <w:rPr>
          <w:lang w:val="en-GB"/>
        </w:rPr>
        <w:t>, that they had been detained in conditions which were not compatible with their human dignity. They did not provide a detailed individual account of the material</w:t>
      </w:r>
      <w:r w:rsidRPr="00E116B6" w:rsidR="00ED4C25">
        <w:rPr>
          <w:lang w:val="en-GB"/>
        </w:rPr>
        <w:t xml:space="preserve"> </w:t>
      </w:r>
      <w:r w:rsidRPr="00E116B6" w:rsidR="00EB41AE">
        <w:rPr>
          <w:lang w:val="en-GB"/>
        </w:rPr>
        <w:t>conditions of th</w:t>
      </w:r>
      <w:r w:rsidRPr="00E116B6" w:rsidR="005E621D">
        <w:rPr>
          <w:lang w:val="en-GB"/>
        </w:rPr>
        <w:t>eir cells, but referred to two r</w:t>
      </w:r>
      <w:r w:rsidRPr="00E116B6" w:rsidR="00EB41AE">
        <w:rPr>
          <w:lang w:val="en-GB"/>
        </w:rPr>
        <w:t xml:space="preserve">eports </w:t>
      </w:r>
      <w:r w:rsidRPr="00E116B6" w:rsidR="006555F4">
        <w:rPr>
          <w:lang w:val="en-GB"/>
        </w:rPr>
        <w:t xml:space="preserve">on </w:t>
      </w:r>
      <w:r w:rsidRPr="00E116B6" w:rsidR="00EB41AE">
        <w:rPr>
          <w:lang w:val="en-GB"/>
        </w:rPr>
        <w:t>visit</w:t>
      </w:r>
      <w:r w:rsidRPr="00E116B6" w:rsidR="00F047C2">
        <w:rPr>
          <w:lang w:val="en-GB"/>
        </w:rPr>
        <w:t>s</w:t>
      </w:r>
      <w:r w:rsidRPr="00E116B6" w:rsidR="00EB41AE">
        <w:rPr>
          <w:lang w:val="en-GB"/>
        </w:rPr>
        <w:t xml:space="preserve"> to Georgia by the European Committee for the Preventi</w:t>
      </w:r>
      <w:r w:rsidRPr="00E116B6" w:rsidR="006555F4">
        <w:rPr>
          <w:lang w:val="en-GB"/>
        </w:rPr>
        <w:t xml:space="preserve">on </w:t>
      </w:r>
      <w:r w:rsidRPr="00E116B6" w:rsidR="00EB41AE">
        <w:rPr>
          <w:lang w:val="en-GB"/>
        </w:rPr>
        <w:t xml:space="preserve">of Torture and Inhuman or Degrading Treatment or Punishment in 2001 and 2007 as well as </w:t>
      </w:r>
      <w:r w:rsidRPr="00E116B6" w:rsidR="00261159">
        <w:rPr>
          <w:lang w:val="en-GB"/>
        </w:rPr>
        <w:t xml:space="preserve">to </w:t>
      </w:r>
      <w:r w:rsidRPr="00E116B6" w:rsidR="00B97413">
        <w:rPr>
          <w:lang w:val="en-GB"/>
        </w:rPr>
        <w:t>the Public Defender of Georgia</w:t>
      </w:r>
      <w:r w:rsidRPr="00E116B6" w:rsidR="00E116B6">
        <w:rPr>
          <w:lang w:val="en-GB"/>
        </w:rPr>
        <w:t>’</w:t>
      </w:r>
      <w:r w:rsidRPr="00E116B6" w:rsidR="00B97413">
        <w:rPr>
          <w:lang w:val="en-GB"/>
        </w:rPr>
        <w:t xml:space="preserve">s </w:t>
      </w:r>
      <w:r w:rsidRPr="00E116B6" w:rsidR="00EB41AE">
        <w:rPr>
          <w:lang w:val="en-GB"/>
        </w:rPr>
        <w:t xml:space="preserve">Report </w:t>
      </w:r>
      <w:r w:rsidRPr="00E116B6" w:rsidR="006555F4">
        <w:rPr>
          <w:lang w:val="en-GB"/>
        </w:rPr>
        <w:t xml:space="preserve">on </w:t>
      </w:r>
      <w:r w:rsidRPr="00E116B6" w:rsidR="00EB41AE">
        <w:rPr>
          <w:lang w:val="en-GB"/>
        </w:rPr>
        <w:t>the Monit</w:t>
      </w:r>
      <w:r w:rsidRPr="00E116B6" w:rsidR="00B63C7F">
        <w:rPr>
          <w:lang w:val="en-GB"/>
        </w:rPr>
        <w:t>o</w:t>
      </w:r>
      <w:r w:rsidRPr="00E116B6" w:rsidR="00EB41AE">
        <w:rPr>
          <w:lang w:val="en-GB"/>
        </w:rPr>
        <w:t xml:space="preserve">ring of Georgian Prisons </w:t>
      </w:r>
      <w:r w:rsidRPr="00E116B6" w:rsidR="00A820B6">
        <w:rPr>
          <w:lang w:val="en-GB"/>
        </w:rPr>
        <w:t xml:space="preserve">of </w:t>
      </w:r>
      <w:r w:rsidRPr="00E116B6" w:rsidR="000D0AB5">
        <w:rPr>
          <w:lang w:val="en-GB"/>
        </w:rPr>
        <w:t>the second half of 2005</w:t>
      </w:r>
      <w:r w:rsidRPr="00E116B6" w:rsidR="00EB41AE">
        <w:rPr>
          <w:lang w:val="en-GB"/>
        </w:rPr>
        <w:t>.</w:t>
      </w:r>
    </w:p>
    <w:p w:rsidRPr="00E116B6" w:rsidR="000423E3" w:rsidP="00E116B6" w:rsidRDefault="00104783">
      <w:pPr>
        <w:pStyle w:val="ECHRHeading4"/>
        <w:rPr>
          <w:lang w:val="en-GB"/>
        </w:rPr>
      </w:pPr>
      <w:r w:rsidRPr="00E116B6">
        <w:rPr>
          <w:lang w:val="en-GB"/>
        </w:rPr>
        <w:t>(b)</w:t>
      </w:r>
      <w:r w:rsidRPr="00E116B6" w:rsidR="006555F4">
        <w:rPr>
          <w:lang w:val="en-GB"/>
        </w:rPr>
        <w:t>  </w:t>
      </w:r>
      <w:r w:rsidRPr="00E116B6" w:rsidR="000423E3">
        <w:rPr>
          <w:lang w:val="en-GB"/>
        </w:rPr>
        <w:t>The Court</w:t>
      </w:r>
      <w:r w:rsidRPr="00E116B6" w:rsidR="00E116B6">
        <w:rPr>
          <w:lang w:val="en-GB"/>
        </w:rPr>
        <w:t>’</w:t>
      </w:r>
      <w:r w:rsidRPr="00E116B6" w:rsidR="000423E3">
        <w:rPr>
          <w:lang w:val="en-GB"/>
        </w:rPr>
        <w:t>s assessment</w:t>
      </w:r>
    </w:p>
    <w:p w:rsidRPr="00E116B6" w:rsidR="00AC1180" w:rsidP="00E116B6" w:rsidRDefault="00E60551">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96</w:t>
      </w:r>
      <w:r w:rsidRPr="00E116B6">
        <w:rPr>
          <w:lang w:val="en-GB"/>
        </w:rPr>
        <w:fldChar w:fldCharType="end"/>
      </w:r>
      <w:r w:rsidRPr="00E116B6">
        <w:rPr>
          <w:lang w:val="en-GB"/>
        </w:rPr>
        <w:t>.  Referring to its relevant case-law in respect of the conditions of detenti</w:t>
      </w:r>
      <w:r w:rsidRPr="00E116B6" w:rsidR="006555F4">
        <w:rPr>
          <w:lang w:val="en-GB"/>
        </w:rPr>
        <w:t xml:space="preserve">on </w:t>
      </w:r>
      <w:r w:rsidRPr="00E116B6">
        <w:rPr>
          <w:lang w:val="en-GB"/>
        </w:rPr>
        <w:t>in Georgian custodial institutions at the material time, the Court reiterates the rule that whenever an applicant wished to challenge allegedly poor material conditions of detenti</w:t>
      </w:r>
      <w:r w:rsidRPr="00E116B6" w:rsidR="006555F4">
        <w:rPr>
          <w:lang w:val="en-GB"/>
        </w:rPr>
        <w:t xml:space="preserve">on </w:t>
      </w:r>
      <w:r w:rsidRPr="00E116B6">
        <w:rPr>
          <w:lang w:val="en-GB"/>
        </w:rPr>
        <w:t>in a Georgian prison, even if such comp</w:t>
      </w:r>
      <w:r w:rsidRPr="00E116B6" w:rsidR="00E13E9F">
        <w:rPr>
          <w:lang w:val="en-GB"/>
        </w:rPr>
        <w:t>l</w:t>
      </w:r>
      <w:r w:rsidRPr="00E116B6">
        <w:rPr>
          <w:lang w:val="en-GB"/>
        </w:rPr>
        <w:t>aints did not call for the full and meticulous exhausti</w:t>
      </w:r>
      <w:r w:rsidRPr="00E116B6" w:rsidR="006555F4">
        <w:rPr>
          <w:lang w:val="en-GB"/>
        </w:rPr>
        <w:t xml:space="preserve">on </w:t>
      </w:r>
      <w:r w:rsidRPr="00E116B6">
        <w:rPr>
          <w:lang w:val="en-GB"/>
        </w:rPr>
        <w:t xml:space="preserve">of any specific criminal or civil remedies (see, for comparison, </w:t>
      </w:r>
      <w:r w:rsidRPr="00E116B6" w:rsidR="009F0DE4">
        <w:rPr>
          <w:i/>
          <w:lang w:val="en-GB"/>
        </w:rPr>
        <w:t>Goginashvili v.</w:t>
      </w:r>
      <w:r w:rsidRPr="00E116B6" w:rsidR="0000400E">
        <w:rPr>
          <w:i/>
          <w:lang w:val="en-GB"/>
        </w:rPr>
        <w:t> </w:t>
      </w:r>
      <w:r w:rsidRPr="00E116B6" w:rsidR="009F0DE4">
        <w:rPr>
          <w:i/>
          <w:lang w:val="en-GB"/>
        </w:rPr>
        <w:t>Georgia</w:t>
      </w:r>
      <w:r w:rsidRPr="00E116B6" w:rsidR="006555F4">
        <w:rPr>
          <w:lang w:val="en-GB"/>
        </w:rPr>
        <w:t>, no. </w:t>
      </w:r>
      <w:r w:rsidRPr="00E116B6" w:rsidR="009F0DE4">
        <w:rPr>
          <w:lang w:val="en-GB"/>
        </w:rPr>
        <w:t xml:space="preserve">47729/08, §§ 54 and 57, 4 October 2011, and </w:t>
      </w:r>
      <w:r w:rsidRPr="00E116B6">
        <w:rPr>
          <w:i/>
          <w:lang w:val="en-GB"/>
        </w:rPr>
        <w:t>Aliev v.</w:t>
      </w:r>
      <w:r w:rsidRPr="00E116B6" w:rsidR="0000400E">
        <w:rPr>
          <w:i/>
          <w:lang w:val="en-GB"/>
        </w:rPr>
        <w:t> </w:t>
      </w:r>
      <w:r w:rsidRPr="00E116B6">
        <w:rPr>
          <w:i/>
          <w:lang w:val="en-GB"/>
        </w:rPr>
        <w:t>Georgia</w:t>
      </w:r>
      <w:r w:rsidRPr="00E116B6" w:rsidR="006555F4">
        <w:rPr>
          <w:lang w:val="en-GB"/>
        </w:rPr>
        <w:t>, no. </w:t>
      </w:r>
      <w:r w:rsidRPr="00E116B6">
        <w:rPr>
          <w:lang w:val="en-GB"/>
        </w:rPr>
        <w:t xml:space="preserve">522/04, § 62 and 63, 13 January 2009), </w:t>
      </w:r>
      <w:r w:rsidRPr="00E116B6" w:rsidR="000D0AB5">
        <w:rPr>
          <w:lang w:val="en-GB"/>
        </w:rPr>
        <w:t xml:space="preserve">it was </w:t>
      </w:r>
      <w:r w:rsidRPr="00E116B6">
        <w:rPr>
          <w:lang w:val="en-GB"/>
        </w:rPr>
        <w:t>still required, a</w:t>
      </w:r>
      <w:r w:rsidRPr="00E116B6" w:rsidR="00D25F4F">
        <w:rPr>
          <w:lang w:val="en-GB"/>
        </w:rPr>
        <w:t xml:space="preserve">t </w:t>
      </w:r>
      <w:r w:rsidRPr="00E116B6" w:rsidR="005E621D">
        <w:rPr>
          <w:lang w:val="en-GB"/>
        </w:rPr>
        <w:t>the very</w:t>
      </w:r>
      <w:r w:rsidRPr="00E116B6">
        <w:rPr>
          <w:lang w:val="en-GB"/>
        </w:rPr>
        <w:t xml:space="preserve"> minimum, that at least one of the responsible State agencies </w:t>
      </w:r>
      <w:r w:rsidRPr="00E116B6" w:rsidR="00E13E9F">
        <w:rPr>
          <w:lang w:val="en-GB"/>
        </w:rPr>
        <w:t>must have been informed</w:t>
      </w:r>
      <w:r w:rsidRPr="00E116B6">
        <w:rPr>
          <w:lang w:val="en-GB"/>
        </w:rPr>
        <w:t xml:space="preserve"> of the applicant</w:t>
      </w:r>
      <w:r w:rsidRPr="00E116B6" w:rsidR="00E116B6">
        <w:rPr>
          <w:lang w:val="en-GB"/>
        </w:rPr>
        <w:t>’</w:t>
      </w:r>
      <w:r w:rsidRPr="00E116B6">
        <w:rPr>
          <w:lang w:val="en-GB"/>
        </w:rPr>
        <w:t xml:space="preserve">s subjective assessment that the conditions of </w:t>
      </w:r>
      <w:r w:rsidRPr="00E116B6" w:rsidR="000D0AB5">
        <w:rPr>
          <w:lang w:val="en-GB"/>
        </w:rPr>
        <w:t xml:space="preserve">the </w:t>
      </w:r>
      <w:r w:rsidRPr="00E116B6">
        <w:rPr>
          <w:lang w:val="en-GB"/>
        </w:rPr>
        <w:t>detenti</w:t>
      </w:r>
      <w:r w:rsidRPr="00E116B6" w:rsidR="006555F4">
        <w:rPr>
          <w:lang w:val="en-GB"/>
        </w:rPr>
        <w:t xml:space="preserve">on </w:t>
      </w:r>
      <w:r w:rsidRPr="00E116B6" w:rsidR="000D0AB5">
        <w:rPr>
          <w:lang w:val="en-GB"/>
        </w:rPr>
        <w:t>in questi</w:t>
      </w:r>
      <w:r w:rsidRPr="00E116B6" w:rsidR="006555F4">
        <w:rPr>
          <w:lang w:val="en-GB"/>
        </w:rPr>
        <w:t xml:space="preserve">on </w:t>
      </w:r>
      <w:r w:rsidRPr="00E116B6">
        <w:rPr>
          <w:lang w:val="en-GB"/>
        </w:rPr>
        <w:t>constituted a lack of respect for, or diminished, his or her human dignity</w:t>
      </w:r>
      <w:r w:rsidRPr="00E116B6" w:rsidR="00E13E9F">
        <w:rPr>
          <w:lang w:val="en-GB"/>
        </w:rPr>
        <w:t>.</w:t>
      </w:r>
      <w:r w:rsidRPr="00E116B6">
        <w:rPr>
          <w:lang w:val="en-GB"/>
        </w:rPr>
        <w:t xml:space="preserve"> </w:t>
      </w:r>
      <w:r w:rsidRPr="00E116B6" w:rsidR="00E13E9F">
        <w:rPr>
          <w:lang w:val="en-GB"/>
        </w:rPr>
        <w:t>Without such basic conduct at the domestic level by a pers</w:t>
      </w:r>
      <w:r w:rsidRPr="00E116B6" w:rsidR="006555F4">
        <w:rPr>
          <w:lang w:val="en-GB"/>
        </w:rPr>
        <w:t xml:space="preserve">on </w:t>
      </w:r>
      <w:r w:rsidRPr="00E116B6" w:rsidR="00E13E9F">
        <w:rPr>
          <w:lang w:val="en-GB"/>
        </w:rPr>
        <w:t>who wishe</w:t>
      </w:r>
      <w:r w:rsidRPr="00E116B6" w:rsidR="00C64BF6">
        <w:rPr>
          <w:lang w:val="en-GB"/>
        </w:rPr>
        <w:t>d</w:t>
      </w:r>
      <w:r w:rsidRPr="00E116B6" w:rsidR="00E13E9F">
        <w:rPr>
          <w:lang w:val="en-GB"/>
        </w:rPr>
        <w:t xml:space="preserve"> to challenge the conditions of his or her detenti</w:t>
      </w:r>
      <w:r w:rsidRPr="00E116B6" w:rsidR="006555F4">
        <w:rPr>
          <w:lang w:val="en-GB"/>
        </w:rPr>
        <w:t xml:space="preserve">on </w:t>
      </w:r>
      <w:r w:rsidRPr="00E116B6" w:rsidR="00E13E9F">
        <w:rPr>
          <w:lang w:val="en-GB"/>
        </w:rPr>
        <w:t xml:space="preserve">in Strasbourg, the Court would necessarily have difficulty in evaluating the credibility of </w:t>
      </w:r>
      <w:r w:rsidRPr="00E116B6" w:rsidR="00141006">
        <w:rPr>
          <w:lang w:val="en-GB"/>
        </w:rPr>
        <w:t xml:space="preserve">an </w:t>
      </w:r>
      <w:r w:rsidRPr="00E116B6" w:rsidR="00E13E9F">
        <w:rPr>
          <w:lang w:val="en-GB"/>
        </w:rPr>
        <w:t>applicant</w:t>
      </w:r>
      <w:r w:rsidRPr="00E116B6" w:rsidR="00E116B6">
        <w:rPr>
          <w:lang w:val="en-GB"/>
        </w:rPr>
        <w:t>’</w:t>
      </w:r>
      <w:r w:rsidRPr="00E116B6" w:rsidR="00E13E9F">
        <w:rPr>
          <w:lang w:val="en-GB"/>
        </w:rPr>
        <w:t xml:space="preserve">s allegations of fact in that respect </w:t>
      </w:r>
      <w:r w:rsidRPr="00E116B6">
        <w:rPr>
          <w:lang w:val="en-GB"/>
        </w:rPr>
        <w:t xml:space="preserve">(see </w:t>
      </w:r>
      <w:r w:rsidRPr="00E116B6">
        <w:rPr>
          <w:i/>
          <w:lang w:val="en-GB"/>
        </w:rPr>
        <w:t>Janiashvili v. Georgia</w:t>
      </w:r>
      <w:r w:rsidRPr="00E116B6">
        <w:rPr>
          <w:lang w:val="en-GB"/>
        </w:rPr>
        <w:t>, no. 35887/05</w:t>
      </w:r>
      <w:r w:rsidRPr="00E116B6" w:rsidR="00E13E9F">
        <w:rPr>
          <w:snapToGrid w:val="0"/>
          <w:lang w:val="en-GB"/>
        </w:rPr>
        <w:t>, § 70</w:t>
      </w:r>
      <w:r w:rsidRPr="00E116B6">
        <w:rPr>
          <w:snapToGrid w:val="0"/>
          <w:lang w:val="en-GB"/>
        </w:rPr>
        <w:t>, 27 November 2012</w:t>
      </w:r>
      <w:r w:rsidRPr="00E116B6" w:rsidR="00141006">
        <w:rPr>
          <w:snapToGrid w:val="0"/>
          <w:lang w:val="en-GB"/>
        </w:rPr>
        <w:t xml:space="preserve">, and </w:t>
      </w:r>
      <w:r w:rsidRPr="00E116B6" w:rsidR="006555F4">
        <w:rPr>
          <w:i/>
          <w:lang w:val="en-GB"/>
        </w:rPr>
        <w:t>Ramishvili and </w:t>
      </w:r>
      <w:r w:rsidRPr="00E116B6">
        <w:rPr>
          <w:i/>
          <w:lang w:val="en-GB"/>
        </w:rPr>
        <w:t>Kokhreidze v. Georgia</w:t>
      </w:r>
      <w:r w:rsidRPr="00E116B6">
        <w:rPr>
          <w:lang w:val="en-GB"/>
        </w:rPr>
        <w:t xml:space="preserve"> (dec.), no. 1704/06, 26 June</w:t>
      </w:r>
      <w:r w:rsidRPr="00E116B6" w:rsidR="009F0DE4">
        <w:rPr>
          <w:lang w:val="en-GB"/>
        </w:rPr>
        <w:t xml:space="preserve"> 2007</w:t>
      </w:r>
      <w:r w:rsidRPr="00E116B6">
        <w:rPr>
          <w:lang w:val="en-GB"/>
        </w:rPr>
        <w:t>).</w:t>
      </w:r>
    </w:p>
    <w:p w:rsidRPr="00E116B6" w:rsidR="008A6698" w:rsidP="00E116B6" w:rsidRDefault="00E60551">
      <w:pPr>
        <w:pStyle w:val="ECHRPara"/>
        <w:rPr>
          <w:i/>
          <w:iCs/>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97</w:t>
      </w:r>
      <w:r w:rsidRPr="00E116B6">
        <w:rPr>
          <w:lang w:val="en-GB"/>
        </w:rPr>
        <w:fldChar w:fldCharType="end"/>
      </w:r>
      <w:r w:rsidRPr="00E116B6">
        <w:rPr>
          <w:lang w:val="en-GB"/>
        </w:rPr>
        <w:t>.  </w:t>
      </w:r>
      <w:r w:rsidRPr="00E116B6" w:rsidR="000D0AB5">
        <w:rPr>
          <w:lang w:val="en-GB"/>
        </w:rPr>
        <w:t>H</w:t>
      </w:r>
      <w:r w:rsidRPr="00E116B6">
        <w:rPr>
          <w:lang w:val="en-GB"/>
        </w:rPr>
        <w:t>aving regard to the material available in the case file, the Court notes that</w:t>
      </w:r>
      <w:r w:rsidRPr="00E116B6" w:rsidR="00E13E9F">
        <w:rPr>
          <w:lang w:val="en-GB"/>
        </w:rPr>
        <w:t xml:space="preserve"> neither of the two applicants </w:t>
      </w:r>
      <w:r w:rsidRPr="00E116B6">
        <w:rPr>
          <w:lang w:val="en-GB"/>
        </w:rPr>
        <w:t xml:space="preserve">ever informed any of the relevant authorities of </w:t>
      </w:r>
      <w:r w:rsidRPr="00E116B6" w:rsidR="00E13E9F">
        <w:rPr>
          <w:lang w:val="en-GB"/>
        </w:rPr>
        <w:t>their</w:t>
      </w:r>
      <w:r w:rsidRPr="00E116B6">
        <w:rPr>
          <w:lang w:val="en-GB"/>
        </w:rPr>
        <w:t xml:space="preserve"> dissatisfacti</w:t>
      </w:r>
      <w:r w:rsidRPr="00E116B6" w:rsidR="006555F4">
        <w:rPr>
          <w:lang w:val="en-GB"/>
        </w:rPr>
        <w:t xml:space="preserve">on </w:t>
      </w:r>
      <w:r w:rsidRPr="00E116B6">
        <w:rPr>
          <w:lang w:val="en-GB"/>
        </w:rPr>
        <w:t xml:space="preserve">with </w:t>
      </w:r>
      <w:r w:rsidRPr="00E116B6" w:rsidR="00E13E9F">
        <w:rPr>
          <w:lang w:val="en-GB"/>
        </w:rPr>
        <w:t xml:space="preserve">any particular </w:t>
      </w:r>
      <w:r w:rsidRPr="00E116B6" w:rsidR="00141006">
        <w:rPr>
          <w:lang w:val="en-GB"/>
        </w:rPr>
        <w:t xml:space="preserve">aspect of the </w:t>
      </w:r>
      <w:r w:rsidRPr="00E116B6" w:rsidR="00E13E9F">
        <w:rPr>
          <w:lang w:val="en-GB"/>
        </w:rPr>
        <w:t>material condition</w:t>
      </w:r>
      <w:r w:rsidRPr="00E116B6" w:rsidR="00141006">
        <w:rPr>
          <w:lang w:val="en-GB"/>
        </w:rPr>
        <w:t>s</w:t>
      </w:r>
      <w:r w:rsidRPr="00E116B6" w:rsidR="00E13E9F">
        <w:rPr>
          <w:lang w:val="en-GB"/>
        </w:rPr>
        <w:t xml:space="preserve"> of their pre-trial detenti</w:t>
      </w:r>
      <w:r w:rsidRPr="00E116B6" w:rsidR="006555F4">
        <w:rPr>
          <w:lang w:val="en-GB"/>
        </w:rPr>
        <w:t xml:space="preserve">on </w:t>
      </w:r>
      <w:r w:rsidRPr="00E116B6" w:rsidR="00E13E9F">
        <w:rPr>
          <w:lang w:val="en-GB"/>
        </w:rPr>
        <w:t xml:space="preserve">in the cells of </w:t>
      </w:r>
      <w:r w:rsidRPr="00E116B6" w:rsidR="00141006">
        <w:rPr>
          <w:lang w:val="en-GB"/>
        </w:rPr>
        <w:t>P</w:t>
      </w:r>
      <w:r w:rsidRPr="00E116B6" w:rsidR="00E13E9F">
        <w:rPr>
          <w:lang w:val="en-GB"/>
        </w:rPr>
        <w:t>ris</w:t>
      </w:r>
      <w:r w:rsidRPr="00E116B6" w:rsidR="006555F4">
        <w:rPr>
          <w:lang w:val="en-GB"/>
        </w:rPr>
        <w:t xml:space="preserve">on </w:t>
      </w:r>
      <w:r w:rsidRPr="00E116B6" w:rsidR="00E13E9F">
        <w:rPr>
          <w:lang w:val="en-GB"/>
        </w:rPr>
        <w:t xml:space="preserve">no. 1 </w:t>
      </w:r>
      <w:r w:rsidRPr="00E116B6" w:rsidR="00141006">
        <w:rPr>
          <w:lang w:val="en-GB"/>
        </w:rPr>
        <w:t xml:space="preserve">or no. </w:t>
      </w:r>
      <w:r w:rsidRPr="00E116B6" w:rsidR="00E13E9F">
        <w:rPr>
          <w:lang w:val="en-GB"/>
        </w:rPr>
        <w:t>7 in Tbilisi.</w:t>
      </w:r>
      <w:r w:rsidRPr="00E116B6">
        <w:rPr>
          <w:lang w:val="en-GB"/>
        </w:rPr>
        <w:t xml:space="preserve"> </w:t>
      </w:r>
      <w:r w:rsidRPr="00E116B6" w:rsidR="005E621D">
        <w:rPr>
          <w:lang w:val="en-GB"/>
        </w:rPr>
        <w:t>N</w:t>
      </w:r>
      <w:r w:rsidRPr="00E116B6" w:rsidR="00C64BF6">
        <w:rPr>
          <w:lang w:val="en-GB"/>
        </w:rPr>
        <w:t xml:space="preserve">or </w:t>
      </w:r>
      <w:r w:rsidRPr="00E116B6" w:rsidR="00E13E9F">
        <w:rPr>
          <w:lang w:val="en-GB"/>
        </w:rPr>
        <w:t>in the proceedings before the Court did the applicants refer</w:t>
      </w:r>
      <w:r w:rsidRPr="00E116B6" w:rsidR="00C64BF6">
        <w:rPr>
          <w:lang w:val="en-GB"/>
        </w:rPr>
        <w:t xml:space="preserve"> </w:t>
      </w:r>
      <w:r w:rsidRPr="00E116B6" w:rsidR="00E13E9F">
        <w:rPr>
          <w:lang w:val="en-GB"/>
        </w:rPr>
        <w:t>to any specific aspect of their detenti</w:t>
      </w:r>
      <w:r w:rsidRPr="00E116B6" w:rsidR="006555F4">
        <w:rPr>
          <w:lang w:val="en-GB"/>
        </w:rPr>
        <w:t xml:space="preserve">on </w:t>
      </w:r>
      <w:r w:rsidRPr="00E116B6" w:rsidR="00E13E9F">
        <w:rPr>
          <w:lang w:val="en-GB"/>
        </w:rPr>
        <w:t xml:space="preserve">which </w:t>
      </w:r>
      <w:r w:rsidRPr="00E116B6" w:rsidR="008A6698">
        <w:rPr>
          <w:lang w:val="en-GB"/>
        </w:rPr>
        <w:t xml:space="preserve">could </w:t>
      </w:r>
      <w:r w:rsidRPr="00E116B6" w:rsidR="00E13E9F">
        <w:rPr>
          <w:lang w:val="en-GB"/>
        </w:rPr>
        <w:t xml:space="preserve">arguably </w:t>
      </w:r>
      <w:r w:rsidRPr="00E116B6" w:rsidR="00141006">
        <w:rPr>
          <w:lang w:val="en-GB"/>
        </w:rPr>
        <w:t xml:space="preserve">have </w:t>
      </w:r>
      <w:r w:rsidRPr="00E116B6" w:rsidR="00E13E9F">
        <w:rPr>
          <w:lang w:val="en-GB"/>
        </w:rPr>
        <w:t>constituted a lack of respect for their human dignity</w:t>
      </w:r>
      <w:r w:rsidRPr="00E116B6" w:rsidR="00492B2C">
        <w:rPr>
          <w:lang w:val="en-GB"/>
        </w:rPr>
        <w:t xml:space="preserve">, apart from citing </w:t>
      </w:r>
      <w:r w:rsidRPr="00E116B6" w:rsidR="00492B2C">
        <w:rPr>
          <w:i/>
          <w:lang w:val="en-GB"/>
        </w:rPr>
        <w:t>in abstracto</w:t>
      </w:r>
      <w:r w:rsidRPr="00E116B6" w:rsidR="00492B2C">
        <w:rPr>
          <w:lang w:val="en-GB"/>
        </w:rPr>
        <w:t xml:space="preserve"> the findings of international and domestic pris</w:t>
      </w:r>
      <w:r w:rsidRPr="00E116B6" w:rsidR="006555F4">
        <w:rPr>
          <w:lang w:val="en-GB"/>
        </w:rPr>
        <w:t xml:space="preserve">on </w:t>
      </w:r>
      <w:r w:rsidRPr="00E116B6" w:rsidR="00492B2C">
        <w:rPr>
          <w:lang w:val="en-GB"/>
        </w:rPr>
        <w:t>monitoring bodies</w:t>
      </w:r>
      <w:r w:rsidRPr="00E116B6" w:rsidR="00E13E9F">
        <w:rPr>
          <w:lang w:val="en-GB"/>
        </w:rPr>
        <w:t xml:space="preserve">. </w:t>
      </w:r>
      <w:r w:rsidRPr="00E116B6" w:rsidR="005E621D">
        <w:rPr>
          <w:lang w:val="en-GB"/>
        </w:rPr>
        <w:t>I</w:t>
      </w:r>
      <w:r w:rsidRPr="00E116B6" w:rsidR="00E13E9F">
        <w:rPr>
          <w:lang w:val="en-GB"/>
        </w:rPr>
        <w:t xml:space="preserve">t was the Government </w:t>
      </w:r>
      <w:r w:rsidRPr="00E116B6" w:rsidR="00C64BF6">
        <w:rPr>
          <w:lang w:val="en-GB"/>
        </w:rPr>
        <w:t xml:space="preserve">alone </w:t>
      </w:r>
      <w:r w:rsidRPr="00E116B6" w:rsidR="00E13E9F">
        <w:rPr>
          <w:lang w:val="en-GB"/>
        </w:rPr>
        <w:t>wh</w:t>
      </w:r>
      <w:r w:rsidRPr="00E116B6" w:rsidR="00D25F4F">
        <w:rPr>
          <w:lang w:val="en-GB"/>
        </w:rPr>
        <w:t>ich</w:t>
      </w:r>
      <w:r w:rsidRPr="00E116B6" w:rsidR="00E13E9F">
        <w:rPr>
          <w:lang w:val="en-GB"/>
        </w:rPr>
        <w:t xml:space="preserve"> submitted documents showing that a number of specific aspects of the applicants</w:t>
      </w:r>
      <w:r w:rsidRPr="00E116B6" w:rsidR="00E116B6">
        <w:rPr>
          <w:lang w:val="en-GB"/>
        </w:rPr>
        <w:t>’</w:t>
      </w:r>
      <w:r w:rsidRPr="00E116B6" w:rsidR="008A6698">
        <w:rPr>
          <w:lang w:val="en-GB"/>
        </w:rPr>
        <w:t xml:space="preserve"> detenti</w:t>
      </w:r>
      <w:r w:rsidRPr="00E116B6" w:rsidR="006555F4">
        <w:rPr>
          <w:lang w:val="en-GB"/>
        </w:rPr>
        <w:t xml:space="preserve">on </w:t>
      </w:r>
      <w:r w:rsidRPr="00E116B6" w:rsidR="008A6698">
        <w:rPr>
          <w:lang w:val="en-GB"/>
        </w:rPr>
        <w:t>w</w:t>
      </w:r>
      <w:r w:rsidRPr="00E116B6" w:rsidR="005E621D">
        <w:rPr>
          <w:lang w:val="en-GB"/>
        </w:rPr>
        <w:t>ere</w:t>
      </w:r>
      <w:r w:rsidRPr="00E116B6" w:rsidR="008A6698">
        <w:rPr>
          <w:lang w:val="en-GB"/>
        </w:rPr>
        <w:t xml:space="preserve"> of </w:t>
      </w:r>
      <w:r w:rsidRPr="00E116B6" w:rsidR="00141006">
        <w:rPr>
          <w:lang w:val="en-GB"/>
        </w:rPr>
        <w:t xml:space="preserve">an </w:t>
      </w:r>
      <w:r w:rsidRPr="00E116B6" w:rsidR="008A6698">
        <w:rPr>
          <w:lang w:val="en-GB"/>
        </w:rPr>
        <w:t>a</w:t>
      </w:r>
      <w:r w:rsidRPr="00E116B6" w:rsidR="00E13E9F">
        <w:rPr>
          <w:lang w:val="en-GB"/>
        </w:rPr>
        <w:t>de</w:t>
      </w:r>
      <w:r w:rsidRPr="00E116B6" w:rsidR="008A6698">
        <w:rPr>
          <w:lang w:val="en-GB"/>
        </w:rPr>
        <w:t>q</w:t>
      </w:r>
      <w:r w:rsidRPr="00E116B6" w:rsidR="00E13E9F">
        <w:rPr>
          <w:lang w:val="en-GB"/>
        </w:rPr>
        <w:t xml:space="preserve">uate standard, </w:t>
      </w:r>
      <w:r w:rsidRPr="00E116B6" w:rsidR="008A6698">
        <w:rPr>
          <w:lang w:val="en-GB"/>
        </w:rPr>
        <w:t xml:space="preserve">evidentiary </w:t>
      </w:r>
      <w:r w:rsidRPr="00E116B6" w:rsidR="00E13E9F">
        <w:rPr>
          <w:lang w:val="en-GB"/>
        </w:rPr>
        <w:t xml:space="preserve">submissions </w:t>
      </w:r>
      <w:r w:rsidRPr="00E116B6" w:rsidR="00D25F4F">
        <w:rPr>
          <w:lang w:val="en-GB"/>
        </w:rPr>
        <w:t xml:space="preserve">which </w:t>
      </w:r>
      <w:r w:rsidRPr="00E116B6" w:rsidR="008A6698">
        <w:rPr>
          <w:lang w:val="en-GB"/>
        </w:rPr>
        <w:t xml:space="preserve">were left undisputed by any evidence </w:t>
      </w:r>
      <w:r w:rsidRPr="00E116B6" w:rsidR="00141006">
        <w:rPr>
          <w:lang w:val="en-GB"/>
        </w:rPr>
        <w:t xml:space="preserve">to the contrary </w:t>
      </w:r>
      <w:r w:rsidRPr="00E116B6" w:rsidR="008A6698">
        <w:rPr>
          <w:lang w:val="en-GB"/>
        </w:rPr>
        <w:t xml:space="preserve">or </w:t>
      </w:r>
      <w:r w:rsidRPr="00E116B6" w:rsidR="00C64BF6">
        <w:rPr>
          <w:lang w:val="en-GB"/>
        </w:rPr>
        <w:t xml:space="preserve">even </w:t>
      </w:r>
      <w:r w:rsidRPr="00E116B6" w:rsidR="008A6698">
        <w:rPr>
          <w:lang w:val="en-GB"/>
        </w:rPr>
        <w:t xml:space="preserve">by </w:t>
      </w:r>
      <w:r w:rsidRPr="00E116B6" w:rsidR="00C64BF6">
        <w:rPr>
          <w:lang w:val="en-GB"/>
        </w:rPr>
        <w:t xml:space="preserve">any </w:t>
      </w:r>
      <w:r w:rsidRPr="00E116B6" w:rsidR="008A6698">
        <w:rPr>
          <w:lang w:val="en-GB"/>
        </w:rPr>
        <w:t xml:space="preserve">detailed individual accounts of the exact conditions in which </w:t>
      </w:r>
      <w:r w:rsidRPr="00E116B6" w:rsidR="005E621D">
        <w:rPr>
          <w:lang w:val="en-GB"/>
        </w:rPr>
        <w:t>the</w:t>
      </w:r>
      <w:r w:rsidRPr="00E116B6" w:rsidR="00D25F4F">
        <w:rPr>
          <w:lang w:val="en-GB"/>
        </w:rPr>
        <w:t xml:space="preserve"> applicants </w:t>
      </w:r>
      <w:r w:rsidRPr="00E116B6" w:rsidR="005E621D">
        <w:rPr>
          <w:lang w:val="en-GB"/>
        </w:rPr>
        <w:t>had been</w:t>
      </w:r>
      <w:r w:rsidRPr="00E116B6" w:rsidR="008A6698">
        <w:rPr>
          <w:lang w:val="en-GB"/>
        </w:rPr>
        <w:t xml:space="preserve"> held in their </w:t>
      </w:r>
      <w:r w:rsidRPr="00E116B6" w:rsidR="005E621D">
        <w:rPr>
          <w:lang w:val="en-GB"/>
        </w:rPr>
        <w:t xml:space="preserve">respective </w:t>
      </w:r>
      <w:r w:rsidRPr="00E116B6" w:rsidR="008A6698">
        <w:rPr>
          <w:lang w:val="en-GB"/>
        </w:rPr>
        <w:t>pris</w:t>
      </w:r>
      <w:r w:rsidRPr="00E116B6" w:rsidR="006555F4">
        <w:rPr>
          <w:lang w:val="en-GB"/>
        </w:rPr>
        <w:t xml:space="preserve">on </w:t>
      </w:r>
      <w:r w:rsidRPr="00E116B6" w:rsidR="008A6698">
        <w:rPr>
          <w:lang w:val="en-GB"/>
        </w:rPr>
        <w:t>cells</w:t>
      </w:r>
      <w:r w:rsidRPr="00E116B6" w:rsidR="006555F4">
        <w:rPr>
          <w:lang w:val="en-GB"/>
        </w:rPr>
        <w:t xml:space="preserve"> </w:t>
      </w:r>
      <w:r w:rsidRPr="00E116B6" w:rsidR="008A6698">
        <w:rPr>
          <w:lang w:val="en-GB"/>
        </w:rPr>
        <w:t>(compare, amongst other authorities, with</w:t>
      </w:r>
      <w:r w:rsidRPr="00E116B6" w:rsidR="006E46ED">
        <w:rPr>
          <w:lang w:val="en-GB"/>
        </w:rPr>
        <w:t xml:space="preserve"> </w:t>
      </w:r>
      <w:r w:rsidRPr="00E116B6" w:rsidR="006E46ED">
        <w:rPr>
          <w:i/>
        </w:rPr>
        <w:t>Muršić v. Croatia</w:t>
      </w:r>
      <w:r w:rsidRPr="00E116B6" w:rsidR="006555F4">
        <w:rPr>
          <w:snapToGrid w:val="0"/>
          <w:lang w:val="en-GB"/>
        </w:rPr>
        <w:t xml:space="preserve"> </w:t>
      </w:r>
      <w:r w:rsidRPr="00E116B6" w:rsidR="006E46ED">
        <w:rPr>
          <w:snapToGrid w:val="0"/>
          <w:lang w:val="en-GB"/>
        </w:rPr>
        <w:t>[GC], no.</w:t>
      </w:r>
      <w:r w:rsidRPr="00E116B6" w:rsidR="004B4BD7">
        <w:rPr>
          <w:snapToGrid w:val="0"/>
          <w:lang w:val="en-GB"/>
        </w:rPr>
        <w:t> </w:t>
      </w:r>
      <w:r w:rsidRPr="00E116B6" w:rsidR="006E46ED">
        <w:rPr>
          <w:snapToGrid w:val="0"/>
          <w:lang w:val="en-GB"/>
        </w:rPr>
        <w:t>7334/13</w:t>
      </w:r>
      <w:r w:rsidRPr="00E116B6" w:rsidR="006E46ED">
        <w:rPr>
          <w:lang w:val="en-GB"/>
        </w:rPr>
        <w:t xml:space="preserve">, § </w:t>
      </w:r>
      <w:r w:rsidRPr="00E116B6" w:rsidR="004273CE">
        <w:rPr>
          <w:lang w:val="en-GB"/>
        </w:rPr>
        <w:t>127</w:t>
      </w:r>
      <w:r w:rsidRPr="00E116B6" w:rsidR="006E46ED">
        <w:rPr>
          <w:lang w:val="en-GB"/>
        </w:rPr>
        <w:t xml:space="preserve">, ECHR 2016; </w:t>
      </w:r>
      <w:r w:rsidRPr="00E116B6" w:rsidR="006E46ED">
        <w:rPr>
          <w:i/>
        </w:rPr>
        <w:t>Ananyev and Others v.</w:t>
      </w:r>
      <w:r w:rsidRPr="00E116B6" w:rsidR="006555F4">
        <w:rPr>
          <w:i/>
        </w:rPr>
        <w:t xml:space="preserve"> </w:t>
      </w:r>
      <w:r w:rsidRPr="00E116B6" w:rsidR="006E46ED">
        <w:rPr>
          <w:i/>
        </w:rPr>
        <w:t>Russia</w:t>
      </w:r>
      <w:r w:rsidRPr="00E116B6" w:rsidR="006E46ED">
        <w:rPr>
          <w:lang w:val="en-GB"/>
        </w:rPr>
        <w:t>, nos.</w:t>
      </w:r>
      <w:r w:rsidRPr="00E116B6" w:rsidR="004B4BD7">
        <w:rPr>
          <w:lang w:val="en-GB"/>
        </w:rPr>
        <w:t> </w:t>
      </w:r>
      <w:r w:rsidRPr="00E116B6" w:rsidR="006E46ED">
        <w:rPr>
          <w:lang w:val="en-GB"/>
        </w:rPr>
        <w:t>42525/07 and 60800/08, § 122, 10 January 2012;</w:t>
      </w:r>
      <w:r w:rsidRPr="00E116B6" w:rsidR="008A6698">
        <w:rPr>
          <w:lang w:val="en-GB"/>
        </w:rPr>
        <w:t xml:space="preserve"> </w:t>
      </w:r>
      <w:r w:rsidRPr="00E116B6" w:rsidR="008A6698">
        <w:rPr>
          <w:i/>
          <w:lang w:val="en-GB"/>
        </w:rPr>
        <w:t>Janiashvili</w:t>
      </w:r>
      <w:r w:rsidRPr="00E116B6" w:rsidR="008A6698">
        <w:rPr>
          <w:lang w:val="en-GB"/>
        </w:rPr>
        <w:t xml:space="preserve">, cited above, </w:t>
      </w:r>
      <w:r w:rsidRPr="00E116B6" w:rsidR="008A6698">
        <w:rPr>
          <w:rFonts w:cstheme="minorHAnsi"/>
          <w:lang w:val="en-GB"/>
        </w:rPr>
        <w:t>§</w:t>
      </w:r>
      <w:r w:rsidRPr="00E116B6" w:rsidR="008A6698">
        <w:rPr>
          <w:lang w:val="en-GB"/>
        </w:rPr>
        <w:t xml:space="preserve"> 71; </w:t>
      </w:r>
      <w:r w:rsidRPr="00E116B6" w:rsidR="008A6698">
        <w:rPr>
          <w:i/>
          <w:lang w:val="en-GB"/>
        </w:rPr>
        <w:t>Ildani v. Georgia</w:t>
      </w:r>
      <w:r w:rsidRPr="00E116B6" w:rsidR="008A6698">
        <w:rPr>
          <w:lang w:val="en-GB"/>
        </w:rPr>
        <w:t>, no. 65391/09</w:t>
      </w:r>
      <w:r w:rsidRPr="00E116B6" w:rsidR="008A6698">
        <w:rPr>
          <w:snapToGrid w:val="0"/>
          <w:lang w:val="en-GB"/>
        </w:rPr>
        <w:t>, §</w:t>
      </w:r>
      <w:r w:rsidRPr="00E116B6" w:rsidR="008A6698">
        <w:rPr>
          <w:rFonts w:cstheme="minorHAnsi"/>
          <w:snapToGrid w:val="0"/>
          <w:lang w:val="en-GB"/>
        </w:rPr>
        <w:t>§</w:t>
      </w:r>
      <w:r w:rsidRPr="00E116B6" w:rsidR="00AC1180">
        <w:rPr>
          <w:snapToGrid w:val="0"/>
          <w:lang w:val="en-GB"/>
        </w:rPr>
        <w:t xml:space="preserve"> </w:t>
      </w:r>
      <w:r w:rsidRPr="00E116B6" w:rsidR="008A6698">
        <w:rPr>
          <w:snapToGrid w:val="0"/>
          <w:lang w:val="en-GB"/>
        </w:rPr>
        <w:t xml:space="preserve">26 and 27, 23 April 2013; </w:t>
      </w:r>
      <w:r w:rsidRPr="00E116B6" w:rsidR="008A6698">
        <w:rPr>
          <w:i/>
          <w:snapToGrid w:val="0"/>
          <w:lang w:val="en-GB"/>
        </w:rPr>
        <w:t>Visloguzov v.</w:t>
      </w:r>
      <w:r w:rsidRPr="00E116B6" w:rsidR="0000400E">
        <w:rPr>
          <w:i/>
          <w:snapToGrid w:val="0"/>
          <w:lang w:val="en-GB"/>
        </w:rPr>
        <w:t> </w:t>
      </w:r>
      <w:r w:rsidRPr="00E116B6" w:rsidR="008A6698">
        <w:rPr>
          <w:i/>
          <w:snapToGrid w:val="0"/>
          <w:lang w:val="en-GB"/>
        </w:rPr>
        <w:t>Ukraine</w:t>
      </w:r>
      <w:r w:rsidRPr="00E116B6" w:rsidR="008A6698">
        <w:rPr>
          <w:snapToGrid w:val="0"/>
          <w:lang w:val="en-GB"/>
        </w:rPr>
        <w:t>, no. 32362/02, § 45, 20 May 2010</w:t>
      </w:r>
      <w:r w:rsidRPr="00E116B6" w:rsidR="009F0DE4">
        <w:rPr>
          <w:snapToGrid w:val="0"/>
          <w:lang w:val="en-GB"/>
        </w:rPr>
        <w:t>;</w:t>
      </w:r>
      <w:r w:rsidRPr="00E116B6" w:rsidR="009F0DE4">
        <w:rPr>
          <w:i/>
          <w:snapToGrid w:val="0"/>
          <w:lang w:val="en-GB"/>
        </w:rPr>
        <w:t xml:space="preserve"> Shkurenko v.</w:t>
      </w:r>
      <w:r w:rsidRPr="00E116B6" w:rsidR="004B4BD7">
        <w:rPr>
          <w:i/>
          <w:snapToGrid w:val="0"/>
          <w:lang w:val="en-GB"/>
        </w:rPr>
        <w:t> </w:t>
      </w:r>
      <w:r w:rsidRPr="00E116B6" w:rsidR="009F0DE4">
        <w:rPr>
          <w:i/>
          <w:snapToGrid w:val="0"/>
          <w:lang w:val="en-GB"/>
        </w:rPr>
        <w:t>Russia</w:t>
      </w:r>
      <w:r w:rsidRPr="00E116B6" w:rsidR="004613E6">
        <w:rPr>
          <w:snapToGrid w:val="0"/>
          <w:lang w:val="en-GB"/>
        </w:rPr>
        <w:t xml:space="preserve"> (dec.) no. </w:t>
      </w:r>
      <w:r w:rsidRPr="00E116B6" w:rsidR="009F0DE4">
        <w:rPr>
          <w:snapToGrid w:val="0"/>
          <w:lang w:val="en-GB"/>
        </w:rPr>
        <w:t>15010/04, 10 September 2009, and also</w:t>
      </w:r>
      <w:r w:rsidRPr="00E116B6" w:rsidR="008A6698">
        <w:rPr>
          <w:snapToGrid w:val="0"/>
          <w:lang w:val="en-GB"/>
        </w:rPr>
        <w:t xml:space="preserve"> </w:t>
      </w:r>
      <w:r w:rsidRPr="00E116B6" w:rsidR="008A6698">
        <w:rPr>
          <w:i/>
          <w:snapToGrid w:val="0"/>
          <w:lang w:val="en-GB"/>
        </w:rPr>
        <w:t>Ukhan v.</w:t>
      </w:r>
      <w:r w:rsidRPr="00E116B6" w:rsidR="00A05C4D">
        <w:rPr>
          <w:i/>
          <w:snapToGrid w:val="0"/>
          <w:lang w:val="en-GB"/>
        </w:rPr>
        <w:t> </w:t>
      </w:r>
      <w:r w:rsidRPr="00E116B6" w:rsidR="008A6698">
        <w:rPr>
          <w:i/>
          <w:snapToGrid w:val="0"/>
          <w:lang w:val="en-GB"/>
        </w:rPr>
        <w:t>Ukraine</w:t>
      </w:r>
      <w:r w:rsidRPr="00E116B6" w:rsidR="008A6698">
        <w:rPr>
          <w:snapToGrid w:val="0"/>
          <w:lang w:val="en-GB"/>
        </w:rPr>
        <w:t>, no.</w:t>
      </w:r>
      <w:r w:rsidRPr="00E116B6" w:rsidR="0000400E">
        <w:rPr>
          <w:snapToGrid w:val="0"/>
          <w:lang w:val="en-GB"/>
        </w:rPr>
        <w:t> </w:t>
      </w:r>
      <w:r w:rsidRPr="00E116B6" w:rsidR="004613E6">
        <w:rPr>
          <w:snapToGrid w:val="0"/>
          <w:lang w:val="en-GB"/>
        </w:rPr>
        <w:t>30628/02, § </w:t>
      </w:r>
      <w:r w:rsidRPr="00E116B6" w:rsidR="008A6698">
        <w:rPr>
          <w:snapToGrid w:val="0"/>
          <w:lang w:val="en-GB"/>
        </w:rPr>
        <w:t>65, 18 December 2008)</w:t>
      </w:r>
      <w:r w:rsidRPr="00E116B6" w:rsidR="008A6698">
        <w:rPr>
          <w:lang w:val="en-GB"/>
        </w:rPr>
        <w:t>.</w:t>
      </w:r>
    </w:p>
    <w:p w:rsidRPr="00E116B6" w:rsidR="008A6698" w:rsidP="00E116B6" w:rsidRDefault="008A6698">
      <w:pPr>
        <w:pStyle w:val="ECHRPara"/>
        <w:rPr>
          <w:i/>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98</w:t>
      </w:r>
      <w:r w:rsidRPr="00E116B6">
        <w:rPr>
          <w:lang w:val="en-GB"/>
        </w:rPr>
        <w:fldChar w:fldCharType="end"/>
      </w:r>
      <w:r w:rsidRPr="00E116B6">
        <w:rPr>
          <w:lang w:val="en-GB"/>
        </w:rPr>
        <w:t>.  </w:t>
      </w:r>
      <w:r w:rsidRPr="00E116B6" w:rsidR="00DF0F4F">
        <w:rPr>
          <w:lang w:val="en-GB"/>
        </w:rPr>
        <w:t>In view of the foregoing, the Court considers that the applicants</w:t>
      </w:r>
      <w:r w:rsidRPr="00E116B6" w:rsidR="00E116B6">
        <w:rPr>
          <w:lang w:val="en-GB"/>
        </w:rPr>
        <w:t>’</w:t>
      </w:r>
      <w:r w:rsidRPr="00E116B6" w:rsidR="006555F4">
        <w:rPr>
          <w:lang w:val="en-GB"/>
        </w:rPr>
        <w:t xml:space="preserve"> </w:t>
      </w:r>
      <w:r w:rsidRPr="00E116B6" w:rsidR="00DF0F4F">
        <w:rPr>
          <w:lang w:val="en-GB"/>
        </w:rPr>
        <w:t>complaints about the material conditions of their detenti</w:t>
      </w:r>
      <w:r w:rsidRPr="00E116B6" w:rsidR="006555F4">
        <w:rPr>
          <w:lang w:val="en-GB"/>
        </w:rPr>
        <w:t xml:space="preserve">on </w:t>
      </w:r>
      <w:r w:rsidRPr="00E116B6" w:rsidR="00DF0F4F">
        <w:rPr>
          <w:lang w:val="en-GB"/>
        </w:rPr>
        <w:t xml:space="preserve">in </w:t>
      </w:r>
      <w:r w:rsidRPr="00E116B6" w:rsidR="00141006">
        <w:rPr>
          <w:lang w:val="en-GB"/>
        </w:rPr>
        <w:t>P</w:t>
      </w:r>
      <w:r w:rsidRPr="00E116B6" w:rsidR="00DF0F4F">
        <w:rPr>
          <w:lang w:val="en-GB"/>
        </w:rPr>
        <w:t>ris</w:t>
      </w:r>
      <w:r w:rsidRPr="00E116B6" w:rsidR="006555F4">
        <w:rPr>
          <w:lang w:val="en-GB"/>
        </w:rPr>
        <w:t xml:space="preserve">on </w:t>
      </w:r>
      <w:r w:rsidRPr="00E116B6" w:rsidR="00DF0F4F">
        <w:rPr>
          <w:lang w:val="en-GB"/>
        </w:rPr>
        <w:t>no.</w:t>
      </w:r>
      <w:r w:rsidRPr="00E116B6" w:rsidR="0000400E">
        <w:rPr>
          <w:lang w:val="en-GB"/>
        </w:rPr>
        <w:t> </w:t>
      </w:r>
      <w:r w:rsidRPr="00E116B6" w:rsidR="00DF0F4F">
        <w:rPr>
          <w:lang w:val="en-GB"/>
        </w:rPr>
        <w:t>1</w:t>
      </w:r>
      <w:r w:rsidRPr="00E116B6" w:rsidR="006555F4">
        <w:rPr>
          <w:lang w:val="en-GB"/>
        </w:rPr>
        <w:t xml:space="preserve"> </w:t>
      </w:r>
      <w:r w:rsidRPr="00E116B6" w:rsidR="00DF0F4F">
        <w:rPr>
          <w:lang w:val="en-GB"/>
        </w:rPr>
        <w:t xml:space="preserve">and </w:t>
      </w:r>
      <w:r w:rsidRPr="00E116B6" w:rsidR="00141006">
        <w:rPr>
          <w:lang w:val="en-GB"/>
        </w:rPr>
        <w:t xml:space="preserve">no. </w:t>
      </w:r>
      <w:r w:rsidRPr="00E116B6" w:rsidR="00DF0F4F">
        <w:rPr>
          <w:lang w:val="en-GB"/>
        </w:rPr>
        <w:t xml:space="preserve">7 </w:t>
      </w:r>
      <w:r w:rsidRPr="00E116B6" w:rsidR="00141006">
        <w:rPr>
          <w:lang w:val="en-GB"/>
        </w:rPr>
        <w:t xml:space="preserve">have </w:t>
      </w:r>
      <w:r w:rsidRPr="00E116B6" w:rsidR="00DF0F4F">
        <w:rPr>
          <w:lang w:val="en-GB"/>
        </w:rPr>
        <w:t xml:space="preserve">not </w:t>
      </w:r>
      <w:r w:rsidRPr="00E116B6" w:rsidR="00141006">
        <w:rPr>
          <w:lang w:val="en-GB"/>
        </w:rPr>
        <w:t xml:space="preserve">been </w:t>
      </w:r>
      <w:r w:rsidRPr="00E116B6" w:rsidR="00DF0F4F">
        <w:rPr>
          <w:lang w:val="en-GB"/>
        </w:rPr>
        <w:t xml:space="preserve">properly substantiated. </w:t>
      </w:r>
      <w:r w:rsidRPr="00E116B6">
        <w:rPr>
          <w:lang w:val="en-GB"/>
        </w:rPr>
        <w:t xml:space="preserve">It follows that </w:t>
      </w:r>
      <w:r w:rsidRPr="00E116B6" w:rsidR="00DF0F4F">
        <w:rPr>
          <w:lang w:val="en-GB"/>
        </w:rPr>
        <w:t>this part of the applicati</w:t>
      </w:r>
      <w:r w:rsidRPr="00E116B6" w:rsidR="006555F4">
        <w:rPr>
          <w:lang w:val="en-GB"/>
        </w:rPr>
        <w:t xml:space="preserve">on </w:t>
      </w:r>
      <w:r w:rsidRPr="00E116B6" w:rsidR="00DF0F4F">
        <w:rPr>
          <w:lang w:val="en-GB"/>
        </w:rPr>
        <w:t>is</w:t>
      </w:r>
      <w:r w:rsidRPr="00E116B6">
        <w:rPr>
          <w:lang w:val="en-GB"/>
        </w:rPr>
        <w:t xml:space="preserve"> manifestly ill-founded and must be rejected in accordance with Article 35 §§ 3 (a) and 4 of the Convention.</w:t>
      </w:r>
    </w:p>
    <w:p w:rsidRPr="00E116B6" w:rsidR="00014566" w:rsidP="00E116B6" w:rsidRDefault="00104783">
      <w:pPr>
        <w:pStyle w:val="ECHRHeading3"/>
        <w:rPr>
          <w:lang w:val="en-GB"/>
        </w:rPr>
      </w:pPr>
      <w:r w:rsidRPr="00E116B6">
        <w:rPr>
          <w:lang w:val="en-GB"/>
        </w:rPr>
        <w:t>2</w:t>
      </w:r>
      <w:r w:rsidRPr="00E116B6" w:rsidR="00014566">
        <w:rPr>
          <w:lang w:val="en-GB"/>
        </w:rPr>
        <w:t>.  </w:t>
      </w:r>
      <w:r w:rsidRPr="00E116B6" w:rsidR="000423E3">
        <w:rPr>
          <w:lang w:val="en-GB"/>
        </w:rPr>
        <w:t>As regards the first applicant</w:t>
      </w:r>
      <w:r w:rsidRPr="00E116B6" w:rsidR="00E116B6">
        <w:rPr>
          <w:lang w:val="en-GB"/>
        </w:rPr>
        <w:t>’</w:t>
      </w:r>
      <w:r w:rsidRPr="00E116B6" w:rsidR="000423E3">
        <w:rPr>
          <w:lang w:val="en-GB"/>
        </w:rPr>
        <w:t xml:space="preserve">s </w:t>
      </w:r>
      <w:r w:rsidRPr="00E116B6" w:rsidR="006F736C">
        <w:rPr>
          <w:lang w:val="en-GB"/>
        </w:rPr>
        <w:t xml:space="preserve">alleged </w:t>
      </w:r>
      <w:r w:rsidRPr="00E116B6" w:rsidR="000423E3">
        <w:rPr>
          <w:lang w:val="en-GB"/>
        </w:rPr>
        <w:t>ill-treatment</w:t>
      </w:r>
    </w:p>
    <w:p w:rsidRPr="00E116B6" w:rsidR="00104783" w:rsidP="00E116B6" w:rsidRDefault="004C4CF3">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99</w:t>
      </w:r>
      <w:r w:rsidRPr="00E116B6">
        <w:rPr>
          <w:lang w:val="en-GB"/>
        </w:rPr>
        <w:fldChar w:fldCharType="end"/>
      </w:r>
      <w:r w:rsidRPr="00E116B6" w:rsidR="00104783">
        <w:rPr>
          <w:lang w:val="en-GB"/>
        </w:rPr>
        <w:t>.  The Government did not submit any objecti</w:t>
      </w:r>
      <w:r w:rsidRPr="00E116B6" w:rsidR="006555F4">
        <w:rPr>
          <w:lang w:val="en-GB"/>
        </w:rPr>
        <w:t xml:space="preserve">on </w:t>
      </w:r>
      <w:r w:rsidRPr="00E116B6" w:rsidR="00104783">
        <w:rPr>
          <w:lang w:val="en-GB"/>
        </w:rPr>
        <w:t>to the admissibility of the first applicant</w:t>
      </w:r>
      <w:r w:rsidRPr="00E116B6" w:rsidR="00E116B6">
        <w:rPr>
          <w:lang w:val="en-GB"/>
        </w:rPr>
        <w:t>’</w:t>
      </w:r>
      <w:r w:rsidRPr="00E116B6" w:rsidR="00104783">
        <w:rPr>
          <w:lang w:val="en-GB"/>
        </w:rPr>
        <w:t xml:space="preserve">s complaint </w:t>
      </w:r>
      <w:r w:rsidRPr="00E116B6" w:rsidR="00141006">
        <w:rPr>
          <w:lang w:val="en-GB"/>
        </w:rPr>
        <w:t xml:space="preserve">of </w:t>
      </w:r>
      <w:r w:rsidRPr="00E116B6" w:rsidR="00104783">
        <w:rPr>
          <w:lang w:val="en-GB"/>
        </w:rPr>
        <w:t xml:space="preserve">ill-treatment </w:t>
      </w:r>
      <w:r w:rsidRPr="00E116B6" w:rsidR="006555F4">
        <w:rPr>
          <w:lang w:val="en-GB"/>
        </w:rPr>
        <w:t xml:space="preserve">on </w:t>
      </w:r>
      <w:r w:rsidRPr="00E116B6" w:rsidR="00104783">
        <w:rPr>
          <w:lang w:val="en-GB"/>
        </w:rPr>
        <w:t>13 May 2004.</w:t>
      </w:r>
    </w:p>
    <w:p w:rsidRPr="00E116B6" w:rsidR="00104783" w:rsidP="00E116B6" w:rsidRDefault="004C4CF3">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100</w:t>
      </w:r>
      <w:r w:rsidRPr="00E116B6">
        <w:rPr>
          <w:lang w:val="en-GB"/>
        </w:rPr>
        <w:fldChar w:fldCharType="end"/>
      </w:r>
      <w:r w:rsidRPr="00E116B6" w:rsidR="00104783">
        <w:rPr>
          <w:lang w:val="en-GB"/>
        </w:rPr>
        <w:t xml:space="preserve">.  The Court notes that this complaint is not manifestly ill-founded within the meaning of Article 35 § 3 (a) of the Convention. It further notes that it is not inadmissible </w:t>
      </w:r>
      <w:r w:rsidRPr="00E116B6" w:rsidR="006555F4">
        <w:rPr>
          <w:lang w:val="en-GB"/>
        </w:rPr>
        <w:t xml:space="preserve">on </w:t>
      </w:r>
      <w:r w:rsidRPr="00E116B6" w:rsidR="00104783">
        <w:rPr>
          <w:lang w:val="en-GB"/>
        </w:rPr>
        <w:t>any other grounds. It must therefore be declared admissible.</w:t>
      </w:r>
    </w:p>
    <w:p w:rsidRPr="00E116B6" w:rsidR="00104783" w:rsidP="00E116B6" w:rsidRDefault="006555F4">
      <w:pPr>
        <w:pStyle w:val="ECHRHeading2"/>
        <w:rPr>
          <w:lang w:val="en-GB"/>
        </w:rPr>
      </w:pPr>
      <w:r w:rsidRPr="00E116B6">
        <w:rPr>
          <w:lang w:val="en-GB"/>
        </w:rPr>
        <w:t>B.  </w:t>
      </w:r>
      <w:r w:rsidRPr="00E116B6" w:rsidR="00104783">
        <w:rPr>
          <w:lang w:val="en-GB"/>
        </w:rPr>
        <w:t>Merits</w:t>
      </w:r>
    </w:p>
    <w:p w:rsidRPr="00E116B6" w:rsidR="000423E3" w:rsidP="00E116B6" w:rsidRDefault="006555F4">
      <w:pPr>
        <w:pStyle w:val="ECHRHeading3"/>
        <w:rPr>
          <w:lang w:val="en-GB"/>
        </w:rPr>
      </w:pPr>
      <w:r w:rsidRPr="00E116B6">
        <w:rPr>
          <w:lang w:val="en-GB"/>
        </w:rPr>
        <w:t>1.  </w:t>
      </w:r>
      <w:r w:rsidRPr="00E116B6" w:rsidR="000423E3">
        <w:rPr>
          <w:lang w:val="en-GB"/>
        </w:rPr>
        <w:t>The parties</w:t>
      </w:r>
      <w:r w:rsidRPr="00E116B6" w:rsidR="00E116B6">
        <w:rPr>
          <w:lang w:val="en-GB"/>
        </w:rPr>
        <w:t>’</w:t>
      </w:r>
      <w:r w:rsidRPr="00E116B6" w:rsidR="000423E3">
        <w:rPr>
          <w:lang w:val="en-GB"/>
        </w:rPr>
        <w:t xml:space="preserve"> arguments</w:t>
      </w:r>
    </w:p>
    <w:bookmarkStart w:name="govargument" w:id="47"/>
    <w:p w:rsidRPr="00E116B6" w:rsidR="00AC1180" w:rsidP="00E116B6" w:rsidRDefault="000423E3">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101</w:t>
      </w:r>
      <w:r w:rsidRPr="00E116B6">
        <w:rPr>
          <w:lang w:val="en-GB"/>
        </w:rPr>
        <w:fldChar w:fldCharType="end"/>
      </w:r>
      <w:bookmarkEnd w:id="47"/>
      <w:r w:rsidRPr="00E116B6">
        <w:rPr>
          <w:lang w:val="en-GB"/>
        </w:rPr>
        <w:t>.  </w:t>
      </w:r>
      <w:r w:rsidRPr="00E116B6" w:rsidR="00B4466A">
        <w:rPr>
          <w:lang w:val="en-GB"/>
        </w:rPr>
        <w:t xml:space="preserve">The Government submitted </w:t>
      </w:r>
      <w:r w:rsidRPr="00E116B6" w:rsidR="007A7BEA">
        <w:rPr>
          <w:lang w:val="en-GB"/>
        </w:rPr>
        <w:t xml:space="preserve">that </w:t>
      </w:r>
      <w:r w:rsidRPr="00E116B6" w:rsidR="00B4466A">
        <w:rPr>
          <w:lang w:val="en-GB"/>
        </w:rPr>
        <w:t xml:space="preserve">the </w:t>
      </w:r>
      <w:r w:rsidRPr="00E116B6" w:rsidR="00F344E9">
        <w:rPr>
          <w:lang w:val="en-GB"/>
        </w:rPr>
        <w:t>first</w:t>
      </w:r>
      <w:r w:rsidRPr="00E116B6" w:rsidR="00B4466A">
        <w:rPr>
          <w:lang w:val="en-GB"/>
        </w:rPr>
        <w:t xml:space="preserve"> applicant</w:t>
      </w:r>
      <w:r w:rsidRPr="00E116B6" w:rsidR="00E116B6">
        <w:rPr>
          <w:lang w:val="en-GB"/>
        </w:rPr>
        <w:t>’</w:t>
      </w:r>
      <w:r w:rsidRPr="00E116B6" w:rsidR="00B4466A">
        <w:rPr>
          <w:lang w:val="en-GB"/>
        </w:rPr>
        <w:t xml:space="preserve">s </w:t>
      </w:r>
      <w:r w:rsidRPr="00E116B6" w:rsidR="00141006">
        <w:rPr>
          <w:lang w:val="en-GB"/>
        </w:rPr>
        <w:t>allegati</w:t>
      </w:r>
      <w:r w:rsidRPr="00E116B6" w:rsidR="006555F4">
        <w:rPr>
          <w:lang w:val="en-GB"/>
        </w:rPr>
        <w:t xml:space="preserve">on </w:t>
      </w:r>
      <w:r w:rsidRPr="00E116B6" w:rsidR="00141006">
        <w:rPr>
          <w:lang w:val="en-GB"/>
        </w:rPr>
        <w:t xml:space="preserve">of </w:t>
      </w:r>
      <w:r w:rsidRPr="00E116B6" w:rsidR="00B4466A">
        <w:rPr>
          <w:lang w:val="en-GB"/>
        </w:rPr>
        <w:t>il</w:t>
      </w:r>
      <w:r w:rsidRPr="00E116B6" w:rsidR="007A7BEA">
        <w:rPr>
          <w:lang w:val="en-GB"/>
        </w:rPr>
        <w:t xml:space="preserve">l-treatment </w:t>
      </w:r>
      <w:r w:rsidRPr="00E116B6" w:rsidR="00141006">
        <w:rPr>
          <w:lang w:val="en-GB"/>
        </w:rPr>
        <w:t xml:space="preserve">at </w:t>
      </w:r>
      <w:r w:rsidRPr="00E116B6" w:rsidR="007A7BEA">
        <w:rPr>
          <w:lang w:val="en-GB"/>
        </w:rPr>
        <w:t xml:space="preserve">the hands of the police </w:t>
      </w:r>
      <w:r w:rsidRPr="00E116B6" w:rsidR="006555F4">
        <w:rPr>
          <w:lang w:val="en-GB"/>
        </w:rPr>
        <w:t xml:space="preserve">on </w:t>
      </w:r>
      <w:r w:rsidRPr="00E116B6" w:rsidR="007A7BEA">
        <w:rPr>
          <w:lang w:val="en-GB"/>
        </w:rPr>
        <w:t xml:space="preserve">13 May 2004 </w:t>
      </w:r>
      <w:r w:rsidRPr="00E116B6" w:rsidR="00141006">
        <w:rPr>
          <w:lang w:val="en-GB"/>
        </w:rPr>
        <w:t xml:space="preserve">at </w:t>
      </w:r>
      <w:r w:rsidRPr="00E116B6" w:rsidR="007A7BEA">
        <w:rPr>
          <w:lang w:val="en-GB"/>
        </w:rPr>
        <w:t xml:space="preserve">Tbilisi police headquarters had not been proved beyond a reasonable doubt </w:t>
      </w:r>
      <w:r w:rsidRPr="00E116B6" w:rsidR="00141006">
        <w:rPr>
          <w:lang w:val="en-GB"/>
        </w:rPr>
        <w:t xml:space="preserve">owing to </w:t>
      </w:r>
      <w:r w:rsidRPr="00E116B6" w:rsidR="007A7BEA">
        <w:rPr>
          <w:lang w:val="en-GB"/>
        </w:rPr>
        <w:t>the absence of relevant medical certificates or other evidence</w:t>
      </w:r>
      <w:r w:rsidRPr="00E116B6" w:rsidR="00D25F4F">
        <w:rPr>
          <w:lang w:val="en-GB"/>
        </w:rPr>
        <w:t xml:space="preserve"> that </w:t>
      </w:r>
      <w:r w:rsidRPr="00E116B6" w:rsidR="007A7BEA">
        <w:rPr>
          <w:lang w:val="en-GB"/>
        </w:rPr>
        <w:t>confirm</w:t>
      </w:r>
      <w:r w:rsidRPr="00E116B6" w:rsidR="00D25F4F">
        <w:rPr>
          <w:lang w:val="en-GB"/>
        </w:rPr>
        <w:t>ed</w:t>
      </w:r>
      <w:r w:rsidRPr="00E116B6" w:rsidR="007A7BEA">
        <w:rPr>
          <w:lang w:val="en-GB"/>
        </w:rPr>
        <w:t xml:space="preserve"> with certainty the existence of marks of the purported physical violence </w:t>
      </w:r>
      <w:r w:rsidRPr="00E116B6" w:rsidR="006555F4">
        <w:rPr>
          <w:lang w:val="en-GB"/>
        </w:rPr>
        <w:t xml:space="preserve">on </w:t>
      </w:r>
      <w:r w:rsidRPr="00E116B6" w:rsidR="007A7BEA">
        <w:rPr>
          <w:lang w:val="en-GB"/>
        </w:rPr>
        <w:t xml:space="preserve">the applicant. They continued </w:t>
      </w:r>
      <w:r w:rsidRPr="00E116B6" w:rsidR="00D25F4F">
        <w:rPr>
          <w:lang w:val="en-GB"/>
        </w:rPr>
        <w:t xml:space="preserve">by saying </w:t>
      </w:r>
      <w:r w:rsidRPr="00E116B6" w:rsidR="007A7BEA">
        <w:rPr>
          <w:lang w:val="en-GB"/>
        </w:rPr>
        <w:t xml:space="preserve">that it was the </w:t>
      </w:r>
      <w:r w:rsidRPr="00E116B6" w:rsidR="00F344E9">
        <w:rPr>
          <w:lang w:val="en-GB"/>
        </w:rPr>
        <w:t xml:space="preserve">first </w:t>
      </w:r>
      <w:r w:rsidRPr="00E116B6" w:rsidR="007A7BEA">
        <w:rPr>
          <w:lang w:val="en-GB"/>
        </w:rPr>
        <w:t>applicant</w:t>
      </w:r>
      <w:r w:rsidRPr="00E116B6" w:rsidR="00E116B6">
        <w:rPr>
          <w:lang w:val="en-GB"/>
        </w:rPr>
        <w:t>’</w:t>
      </w:r>
      <w:r w:rsidRPr="00E116B6" w:rsidR="007A7BEA">
        <w:rPr>
          <w:lang w:val="en-GB"/>
        </w:rPr>
        <w:t>s own fault that he had not requested a medical examinati</w:t>
      </w:r>
      <w:r w:rsidRPr="00E116B6" w:rsidR="006555F4">
        <w:rPr>
          <w:lang w:val="en-GB"/>
        </w:rPr>
        <w:t xml:space="preserve">on </w:t>
      </w:r>
      <w:r w:rsidRPr="00E116B6" w:rsidR="007A7BEA">
        <w:rPr>
          <w:lang w:val="en-GB"/>
        </w:rPr>
        <w:t xml:space="preserve">in the immediate aftermath of the alleged ill-treatment. </w:t>
      </w:r>
      <w:r w:rsidRPr="00E116B6" w:rsidR="00064BC2">
        <w:rPr>
          <w:lang w:val="en-GB"/>
        </w:rPr>
        <w:t xml:space="preserve">He had also not </w:t>
      </w:r>
      <w:r w:rsidRPr="00E116B6" w:rsidR="007A7BEA">
        <w:rPr>
          <w:lang w:val="en-GB"/>
        </w:rPr>
        <w:t>reported the ill</w:t>
      </w:r>
      <w:r w:rsidRPr="00E116B6" w:rsidR="00A05C4D">
        <w:rPr>
          <w:lang w:val="en-GB"/>
        </w:rPr>
        <w:noBreakHyphen/>
      </w:r>
      <w:r w:rsidRPr="00E116B6" w:rsidR="007A7BEA">
        <w:rPr>
          <w:lang w:val="en-GB"/>
        </w:rPr>
        <w:t xml:space="preserve">treatment to the public </w:t>
      </w:r>
      <w:r w:rsidRPr="00E116B6" w:rsidR="00D25F4F">
        <w:rPr>
          <w:lang w:val="en-GB"/>
        </w:rPr>
        <w:t xml:space="preserve">defence </w:t>
      </w:r>
      <w:r w:rsidRPr="00E116B6" w:rsidR="007A7BEA">
        <w:rPr>
          <w:lang w:val="en-GB"/>
        </w:rPr>
        <w:t xml:space="preserve">lawyer appointed </w:t>
      </w:r>
      <w:r w:rsidRPr="00E116B6" w:rsidR="00064BC2">
        <w:rPr>
          <w:lang w:val="en-GB"/>
        </w:rPr>
        <w:t xml:space="preserve">for </w:t>
      </w:r>
      <w:r w:rsidRPr="00E116B6" w:rsidR="007A7BEA">
        <w:rPr>
          <w:lang w:val="en-GB"/>
        </w:rPr>
        <w:t xml:space="preserve">him </w:t>
      </w:r>
      <w:r w:rsidRPr="00E116B6" w:rsidR="006555F4">
        <w:rPr>
          <w:lang w:val="en-GB"/>
        </w:rPr>
        <w:t xml:space="preserve">on </w:t>
      </w:r>
      <w:r w:rsidRPr="00E116B6" w:rsidR="007A7BEA">
        <w:rPr>
          <w:lang w:val="en-GB"/>
        </w:rPr>
        <w:t>13</w:t>
      </w:r>
      <w:r w:rsidRPr="00E116B6" w:rsidR="00A05C4D">
        <w:rPr>
          <w:lang w:val="en-GB"/>
        </w:rPr>
        <w:t> </w:t>
      </w:r>
      <w:r w:rsidRPr="00E116B6" w:rsidR="007A7BEA">
        <w:rPr>
          <w:lang w:val="en-GB"/>
        </w:rPr>
        <w:t xml:space="preserve">May 2004 or to the doctor </w:t>
      </w:r>
      <w:r w:rsidRPr="00E116B6" w:rsidR="00064BC2">
        <w:rPr>
          <w:lang w:val="en-GB"/>
        </w:rPr>
        <w:t>at</w:t>
      </w:r>
      <w:r w:rsidRPr="00E116B6" w:rsidR="007A7BEA">
        <w:rPr>
          <w:lang w:val="en-GB"/>
        </w:rPr>
        <w:t xml:space="preserve"> </w:t>
      </w:r>
      <w:r w:rsidRPr="00E116B6" w:rsidR="00064BC2">
        <w:rPr>
          <w:lang w:val="en-GB"/>
        </w:rPr>
        <w:t>P</w:t>
      </w:r>
      <w:r w:rsidRPr="00E116B6" w:rsidR="007A7BEA">
        <w:rPr>
          <w:lang w:val="en-GB"/>
        </w:rPr>
        <w:t>ris</w:t>
      </w:r>
      <w:r w:rsidRPr="00E116B6" w:rsidR="006555F4">
        <w:rPr>
          <w:lang w:val="en-GB"/>
        </w:rPr>
        <w:t xml:space="preserve">on </w:t>
      </w:r>
      <w:r w:rsidRPr="00E116B6" w:rsidR="007A7BEA">
        <w:rPr>
          <w:lang w:val="en-GB"/>
        </w:rPr>
        <w:t>no. 7 up</w:t>
      </w:r>
      <w:r w:rsidRPr="00E116B6" w:rsidR="006555F4">
        <w:rPr>
          <w:lang w:val="en-GB"/>
        </w:rPr>
        <w:t xml:space="preserve">on </w:t>
      </w:r>
      <w:r w:rsidRPr="00E116B6" w:rsidR="007A7BEA">
        <w:rPr>
          <w:lang w:val="en-GB"/>
        </w:rPr>
        <w:t xml:space="preserve">his transfer there </w:t>
      </w:r>
      <w:r w:rsidRPr="00E116B6" w:rsidR="006555F4">
        <w:rPr>
          <w:lang w:val="en-GB"/>
        </w:rPr>
        <w:t xml:space="preserve">on </w:t>
      </w:r>
      <w:r w:rsidRPr="00E116B6" w:rsidR="007A7BEA">
        <w:rPr>
          <w:lang w:val="en-GB"/>
        </w:rPr>
        <w:t>16</w:t>
      </w:r>
      <w:r w:rsidRPr="00E116B6" w:rsidR="00A05C4D">
        <w:rPr>
          <w:lang w:val="en-GB"/>
        </w:rPr>
        <w:t> </w:t>
      </w:r>
      <w:r w:rsidRPr="00E116B6" w:rsidR="007A7BEA">
        <w:rPr>
          <w:lang w:val="en-GB"/>
        </w:rPr>
        <w:t>May 2004.</w:t>
      </w:r>
      <w:r w:rsidRPr="00E116B6" w:rsidR="00F344E9">
        <w:rPr>
          <w:lang w:val="en-GB"/>
        </w:rPr>
        <w:t xml:space="preserve"> </w:t>
      </w:r>
      <w:r w:rsidRPr="00E116B6" w:rsidR="007216E6">
        <w:rPr>
          <w:lang w:val="en-GB"/>
        </w:rPr>
        <w:t>As regards the domestic authorities</w:t>
      </w:r>
      <w:r w:rsidRPr="00E116B6" w:rsidR="00E116B6">
        <w:rPr>
          <w:lang w:val="en-GB"/>
        </w:rPr>
        <w:t>’</w:t>
      </w:r>
      <w:r w:rsidRPr="00E116B6" w:rsidR="007216E6">
        <w:rPr>
          <w:lang w:val="en-GB"/>
        </w:rPr>
        <w:t xml:space="preserve"> positive obligations under Article</w:t>
      </w:r>
      <w:r w:rsidRPr="00E116B6" w:rsidR="00A05C4D">
        <w:rPr>
          <w:lang w:val="en-GB"/>
        </w:rPr>
        <w:t> </w:t>
      </w:r>
      <w:r w:rsidRPr="00E116B6" w:rsidR="007216E6">
        <w:rPr>
          <w:lang w:val="en-GB"/>
        </w:rPr>
        <w:t xml:space="preserve">3 of the Convention, the Government </w:t>
      </w:r>
      <w:r w:rsidRPr="00E116B6" w:rsidR="00F344E9">
        <w:rPr>
          <w:lang w:val="en-GB"/>
        </w:rPr>
        <w:t>submitted</w:t>
      </w:r>
      <w:r w:rsidRPr="00E116B6" w:rsidR="007216E6">
        <w:rPr>
          <w:lang w:val="en-GB"/>
        </w:rPr>
        <w:t xml:space="preserve"> that as so</w:t>
      </w:r>
      <w:r w:rsidRPr="00E116B6" w:rsidR="006555F4">
        <w:rPr>
          <w:lang w:val="en-GB"/>
        </w:rPr>
        <w:t xml:space="preserve">on </w:t>
      </w:r>
      <w:r w:rsidRPr="00E116B6" w:rsidR="007216E6">
        <w:rPr>
          <w:lang w:val="en-GB"/>
        </w:rPr>
        <w:t>as the applicant</w:t>
      </w:r>
      <w:r w:rsidRPr="00E116B6" w:rsidR="00E116B6">
        <w:rPr>
          <w:lang w:val="en-GB"/>
        </w:rPr>
        <w:t>’</w:t>
      </w:r>
      <w:r w:rsidRPr="00E116B6" w:rsidR="007216E6">
        <w:rPr>
          <w:lang w:val="en-GB"/>
        </w:rPr>
        <w:t>s wife had comp</w:t>
      </w:r>
      <w:r w:rsidRPr="00E116B6" w:rsidR="00CF424D">
        <w:rPr>
          <w:lang w:val="en-GB"/>
        </w:rPr>
        <w:t>l</w:t>
      </w:r>
      <w:r w:rsidRPr="00E116B6" w:rsidR="007216E6">
        <w:rPr>
          <w:lang w:val="en-GB"/>
        </w:rPr>
        <w:t>ained for the first time to the prosecut</w:t>
      </w:r>
      <w:r w:rsidRPr="00E116B6" w:rsidR="00D25F4F">
        <w:rPr>
          <w:lang w:val="en-GB"/>
        </w:rPr>
        <w:t>i</w:t>
      </w:r>
      <w:r w:rsidRPr="00E116B6" w:rsidR="006555F4">
        <w:rPr>
          <w:lang w:val="en-GB"/>
        </w:rPr>
        <w:t xml:space="preserve">on </w:t>
      </w:r>
      <w:r w:rsidRPr="00E116B6" w:rsidR="007216E6">
        <w:rPr>
          <w:lang w:val="en-GB"/>
        </w:rPr>
        <w:t>authority about her husband</w:t>
      </w:r>
      <w:r w:rsidRPr="00E116B6" w:rsidR="00E116B6">
        <w:rPr>
          <w:lang w:val="en-GB"/>
        </w:rPr>
        <w:t>’</w:t>
      </w:r>
      <w:r w:rsidRPr="00E116B6" w:rsidR="007216E6">
        <w:rPr>
          <w:lang w:val="en-GB"/>
        </w:rPr>
        <w:t xml:space="preserve">s ill-treatment </w:t>
      </w:r>
      <w:r w:rsidRPr="00E116B6" w:rsidR="006555F4">
        <w:rPr>
          <w:lang w:val="en-GB"/>
        </w:rPr>
        <w:t xml:space="preserve">on </w:t>
      </w:r>
      <w:r w:rsidRPr="00E116B6" w:rsidR="007216E6">
        <w:rPr>
          <w:lang w:val="en-GB"/>
        </w:rPr>
        <w:t>8 October 2004, the investigati</w:t>
      </w:r>
      <w:r w:rsidRPr="00E116B6" w:rsidR="006555F4">
        <w:rPr>
          <w:lang w:val="en-GB"/>
        </w:rPr>
        <w:t xml:space="preserve">on </w:t>
      </w:r>
      <w:r w:rsidRPr="00E116B6" w:rsidR="00F344E9">
        <w:rPr>
          <w:lang w:val="en-GB"/>
        </w:rPr>
        <w:t>had been</w:t>
      </w:r>
      <w:r w:rsidRPr="00E116B6" w:rsidR="007216E6">
        <w:rPr>
          <w:lang w:val="en-GB"/>
        </w:rPr>
        <w:t xml:space="preserve"> launched</w:t>
      </w:r>
      <w:r w:rsidRPr="00E116B6" w:rsidR="00C20B02">
        <w:rPr>
          <w:lang w:val="en-GB"/>
        </w:rPr>
        <w:t xml:space="preserve"> immediately</w:t>
      </w:r>
      <w:r w:rsidRPr="00E116B6" w:rsidR="007216E6">
        <w:rPr>
          <w:lang w:val="en-GB"/>
        </w:rPr>
        <w:t xml:space="preserve">. </w:t>
      </w:r>
      <w:r w:rsidRPr="00E116B6" w:rsidR="00F344E9">
        <w:rPr>
          <w:lang w:val="en-GB"/>
        </w:rPr>
        <w:t>They</w:t>
      </w:r>
      <w:r w:rsidRPr="00E116B6" w:rsidR="007216E6">
        <w:rPr>
          <w:lang w:val="en-GB"/>
        </w:rPr>
        <w:t xml:space="preserve"> referred to th</w:t>
      </w:r>
      <w:r w:rsidRPr="00E116B6" w:rsidR="00C20B02">
        <w:rPr>
          <w:lang w:val="en-GB"/>
        </w:rPr>
        <w:t>e</w:t>
      </w:r>
      <w:r w:rsidRPr="00E116B6" w:rsidR="007216E6">
        <w:rPr>
          <w:lang w:val="en-GB"/>
        </w:rPr>
        <w:t xml:space="preserve"> </w:t>
      </w:r>
      <w:r w:rsidRPr="00E116B6" w:rsidR="00F344E9">
        <w:rPr>
          <w:lang w:val="en-GB"/>
        </w:rPr>
        <w:t xml:space="preserve">comprehensive </w:t>
      </w:r>
      <w:r w:rsidRPr="00E116B6" w:rsidR="007216E6">
        <w:rPr>
          <w:lang w:val="en-GB"/>
        </w:rPr>
        <w:t xml:space="preserve">investigative </w:t>
      </w:r>
      <w:r w:rsidRPr="00E116B6" w:rsidR="00F344E9">
        <w:rPr>
          <w:lang w:val="en-GB"/>
        </w:rPr>
        <w:t>actions</w:t>
      </w:r>
      <w:r w:rsidRPr="00E116B6" w:rsidR="007216E6">
        <w:rPr>
          <w:lang w:val="en-GB"/>
        </w:rPr>
        <w:t xml:space="preserve"> the authority had undertaken</w:t>
      </w:r>
      <w:r w:rsidRPr="00E116B6" w:rsidR="00F344E9">
        <w:rPr>
          <w:lang w:val="en-GB"/>
        </w:rPr>
        <w:t xml:space="preserve"> (see paragraph</w:t>
      </w:r>
      <w:r w:rsidRPr="00E116B6" w:rsidR="00602719">
        <w:rPr>
          <w:lang w:val="en-GB"/>
        </w:rPr>
        <w:t xml:space="preserve"> </w:t>
      </w:r>
      <w:r w:rsidRPr="00E116B6" w:rsidR="00602719">
        <w:rPr>
          <w:lang w:val="en-GB"/>
        </w:rPr>
        <w:fldChar w:fldCharType="begin"/>
      </w:r>
      <w:r w:rsidRPr="00E116B6" w:rsidR="00602719">
        <w:rPr>
          <w:lang w:val="en-GB"/>
        </w:rPr>
        <w:instrText xml:space="preserve"> REF investigativesteps \h </w:instrText>
      </w:r>
      <w:r w:rsidRPr="00E116B6" w:rsidR="00602719">
        <w:rPr>
          <w:lang w:val="en-GB"/>
        </w:rPr>
      </w:r>
      <w:r w:rsidRPr="00E116B6" w:rsidR="00602719">
        <w:rPr>
          <w:lang w:val="en-GB"/>
        </w:rPr>
        <w:fldChar w:fldCharType="separate"/>
      </w:r>
      <w:r w:rsidRPr="00E116B6" w:rsidR="00E116B6">
        <w:rPr>
          <w:noProof/>
          <w:lang w:val="en-GB"/>
        </w:rPr>
        <w:t>52</w:t>
      </w:r>
      <w:r w:rsidRPr="00E116B6" w:rsidR="00602719">
        <w:rPr>
          <w:lang w:val="en-GB"/>
        </w:rPr>
        <w:fldChar w:fldCharType="end"/>
      </w:r>
      <w:r w:rsidRPr="00E116B6" w:rsidR="00602719">
        <w:rPr>
          <w:lang w:val="en-GB"/>
        </w:rPr>
        <w:t xml:space="preserve"> </w:t>
      </w:r>
      <w:r w:rsidRPr="00E116B6" w:rsidR="00F344E9">
        <w:rPr>
          <w:lang w:val="en-GB"/>
        </w:rPr>
        <w:t>above)</w:t>
      </w:r>
      <w:r w:rsidRPr="00E116B6" w:rsidR="00455F79">
        <w:rPr>
          <w:lang w:val="en-GB"/>
        </w:rPr>
        <w:t>. The results of the latter examinati</w:t>
      </w:r>
      <w:r w:rsidRPr="00E116B6" w:rsidR="006555F4">
        <w:rPr>
          <w:lang w:val="en-GB"/>
        </w:rPr>
        <w:t xml:space="preserve">on </w:t>
      </w:r>
      <w:r w:rsidRPr="00E116B6" w:rsidR="007216E6">
        <w:rPr>
          <w:lang w:val="en-GB"/>
        </w:rPr>
        <w:t>had led to the decisi</w:t>
      </w:r>
      <w:r w:rsidRPr="00E116B6" w:rsidR="006555F4">
        <w:rPr>
          <w:lang w:val="en-GB"/>
        </w:rPr>
        <w:t xml:space="preserve">on </w:t>
      </w:r>
      <w:r w:rsidRPr="00E116B6" w:rsidR="00EC1158">
        <w:rPr>
          <w:lang w:val="en-GB"/>
        </w:rPr>
        <w:t xml:space="preserve">of 17 November 2004 </w:t>
      </w:r>
      <w:r w:rsidRPr="00E116B6" w:rsidR="007216E6">
        <w:rPr>
          <w:lang w:val="en-GB"/>
        </w:rPr>
        <w:t xml:space="preserve">to close the case for lack of established facts </w:t>
      </w:r>
      <w:r w:rsidRPr="00E116B6" w:rsidR="00C20B02">
        <w:rPr>
          <w:lang w:val="en-GB"/>
        </w:rPr>
        <w:t xml:space="preserve">that were </w:t>
      </w:r>
      <w:r w:rsidRPr="00E116B6" w:rsidR="007216E6">
        <w:rPr>
          <w:lang w:val="en-GB"/>
        </w:rPr>
        <w:t xml:space="preserve">arguably constitutive of </w:t>
      </w:r>
      <w:r w:rsidRPr="00E116B6" w:rsidR="00C20B02">
        <w:rPr>
          <w:lang w:val="en-GB"/>
        </w:rPr>
        <w:t>a</w:t>
      </w:r>
      <w:r w:rsidRPr="00E116B6" w:rsidR="007216E6">
        <w:rPr>
          <w:lang w:val="en-GB"/>
        </w:rPr>
        <w:t xml:space="preserve"> criminal offence. </w:t>
      </w:r>
      <w:r w:rsidRPr="00E116B6" w:rsidR="00747BCA">
        <w:rPr>
          <w:lang w:val="en-GB"/>
        </w:rPr>
        <w:t>It was in the light of those findings that the relevant investigative authority had not deemed it necessary to involve the applicant in the investigati</w:t>
      </w:r>
      <w:r w:rsidRPr="00E116B6" w:rsidR="006555F4">
        <w:rPr>
          <w:lang w:val="en-GB"/>
        </w:rPr>
        <w:t xml:space="preserve">on </w:t>
      </w:r>
      <w:r w:rsidRPr="00E116B6" w:rsidR="00747BCA">
        <w:rPr>
          <w:lang w:val="en-GB"/>
        </w:rPr>
        <w:t>by granting him victim sta</w:t>
      </w:r>
      <w:r w:rsidRPr="00E116B6" w:rsidR="00C20B02">
        <w:rPr>
          <w:lang w:val="en-GB"/>
        </w:rPr>
        <w:t>tus</w:t>
      </w:r>
      <w:r w:rsidRPr="00E116B6" w:rsidR="00747BCA">
        <w:rPr>
          <w:lang w:val="en-GB"/>
        </w:rPr>
        <w:t>.</w:t>
      </w:r>
    </w:p>
    <w:p w:rsidRPr="00E116B6" w:rsidR="007216E6" w:rsidP="00E116B6" w:rsidRDefault="00104783">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102</w:t>
      </w:r>
      <w:r w:rsidRPr="00E116B6">
        <w:rPr>
          <w:lang w:val="en-GB"/>
        </w:rPr>
        <w:fldChar w:fldCharType="end"/>
      </w:r>
      <w:r w:rsidRPr="00E116B6">
        <w:rPr>
          <w:lang w:val="en-GB"/>
        </w:rPr>
        <w:t>.  </w:t>
      </w:r>
      <w:r w:rsidRPr="00E116B6" w:rsidR="00861BED">
        <w:rPr>
          <w:lang w:val="en-GB"/>
        </w:rPr>
        <w:t xml:space="preserve">The </w:t>
      </w:r>
      <w:r w:rsidRPr="00E116B6" w:rsidR="00FF7324">
        <w:rPr>
          <w:lang w:val="en-GB"/>
        </w:rPr>
        <w:t xml:space="preserve">first </w:t>
      </w:r>
      <w:r w:rsidRPr="00E116B6" w:rsidR="00861BED">
        <w:rPr>
          <w:lang w:val="en-GB"/>
        </w:rPr>
        <w:t>applicant replied that as so</w:t>
      </w:r>
      <w:r w:rsidRPr="00E116B6" w:rsidR="006555F4">
        <w:rPr>
          <w:lang w:val="en-GB"/>
        </w:rPr>
        <w:t xml:space="preserve">on </w:t>
      </w:r>
      <w:r w:rsidRPr="00E116B6" w:rsidR="00861BED">
        <w:rPr>
          <w:lang w:val="en-GB"/>
        </w:rPr>
        <w:t>as he had a</w:t>
      </w:r>
      <w:r w:rsidRPr="00E116B6" w:rsidR="001F67C1">
        <w:rPr>
          <w:lang w:val="en-GB"/>
        </w:rPr>
        <w:t xml:space="preserve">ppointed </w:t>
      </w:r>
      <w:r w:rsidRPr="00E116B6" w:rsidR="00861BED">
        <w:rPr>
          <w:lang w:val="en-GB"/>
        </w:rPr>
        <w:t xml:space="preserve">a lawyer of his </w:t>
      </w:r>
      <w:r w:rsidRPr="00E116B6" w:rsidR="001F67C1">
        <w:rPr>
          <w:lang w:val="en-GB"/>
        </w:rPr>
        <w:t xml:space="preserve">own </w:t>
      </w:r>
      <w:r w:rsidRPr="00E116B6" w:rsidR="00861BED">
        <w:rPr>
          <w:lang w:val="en-GB"/>
        </w:rPr>
        <w:t xml:space="preserve">choice </w:t>
      </w:r>
      <w:r w:rsidRPr="00E116B6" w:rsidR="006555F4">
        <w:rPr>
          <w:lang w:val="en-GB"/>
        </w:rPr>
        <w:t xml:space="preserve">on </w:t>
      </w:r>
      <w:r w:rsidRPr="00E116B6" w:rsidR="00861BED">
        <w:rPr>
          <w:lang w:val="en-GB"/>
        </w:rPr>
        <w:t xml:space="preserve">4 June 2004 he had immediately informed the relevant authorities of the ill-treatment </w:t>
      </w:r>
      <w:r w:rsidRPr="00E116B6" w:rsidR="001F67C1">
        <w:rPr>
          <w:lang w:val="en-GB"/>
        </w:rPr>
        <w:t xml:space="preserve">he had suffered </w:t>
      </w:r>
      <w:r w:rsidRPr="00E116B6" w:rsidR="006555F4">
        <w:rPr>
          <w:lang w:val="en-GB"/>
        </w:rPr>
        <w:t xml:space="preserve">on </w:t>
      </w:r>
      <w:r w:rsidRPr="00E116B6" w:rsidR="00861BED">
        <w:rPr>
          <w:lang w:val="en-GB"/>
        </w:rPr>
        <w:t>13 May 2004</w:t>
      </w:r>
      <w:r w:rsidRPr="00E116B6" w:rsidR="00F344E9">
        <w:rPr>
          <w:lang w:val="en-GB"/>
        </w:rPr>
        <w:t xml:space="preserve"> and requested a medical examination</w:t>
      </w:r>
      <w:r w:rsidRPr="00E116B6" w:rsidR="00861BED">
        <w:rPr>
          <w:lang w:val="en-GB"/>
        </w:rPr>
        <w:t xml:space="preserve">. He </w:t>
      </w:r>
      <w:r w:rsidRPr="00E116B6" w:rsidR="00C20B02">
        <w:rPr>
          <w:lang w:val="en-GB"/>
        </w:rPr>
        <w:t xml:space="preserve">had </w:t>
      </w:r>
      <w:r w:rsidRPr="00E116B6" w:rsidR="00861BED">
        <w:rPr>
          <w:lang w:val="en-GB"/>
        </w:rPr>
        <w:t xml:space="preserve">then </w:t>
      </w:r>
      <w:r w:rsidRPr="00E116B6" w:rsidR="00C20B02">
        <w:rPr>
          <w:lang w:val="en-GB"/>
        </w:rPr>
        <w:t xml:space="preserve">many times </w:t>
      </w:r>
      <w:r w:rsidRPr="00E116B6" w:rsidR="00861BED">
        <w:rPr>
          <w:lang w:val="en-GB"/>
        </w:rPr>
        <w:t>re</w:t>
      </w:r>
      <w:r w:rsidRPr="00E116B6" w:rsidR="00C20B02">
        <w:rPr>
          <w:lang w:val="en-GB"/>
        </w:rPr>
        <w:t xml:space="preserve">peated </w:t>
      </w:r>
      <w:r w:rsidRPr="00E116B6" w:rsidR="00861BED">
        <w:rPr>
          <w:lang w:val="en-GB"/>
        </w:rPr>
        <w:t xml:space="preserve">those complaints </w:t>
      </w:r>
      <w:r w:rsidRPr="00E116B6" w:rsidR="00C20B02">
        <w:rPr>
          <w:lang w:val="en-GB"/>
        </w:rPr>
        <w:t xml:space="preserve">to </w:t>
      </w:r>
      <w:r w:rsidRPr="00E116B6" w:rsidR="00861BED">
        <w:rPr>
          <w:lang w:val="en-GB"/>
        </w:rPr>
        <w:t>the prosecut</w:t>
      </w:r>
      <w:r w:rsidRPr="00E116B6" w:rsidR="001F67C1">
        <w:rPr>
          <w:lang w:val="en-GB"/>
        </w:rPr>
        <w:t>i</w:t>
      </w:r>
      <w:r w:rsidRPr="00E116B6" w:rsidR="006555F4">
        <w:rPr>
          <w:lang w:val="en-GB"/>
        </w:rPr>
        <w:t xml:space="preserve">on </w:t>
      </w:r>
      <w:r w:rsidRPr="00E116B6" w:rsidR="00861BED">
        <w:rPr>
          <w:lang w:val="en-GB"/>
        </w:rPr>
        <w:t xml:space="preserve">authority. </w:t>
      </w:r>
      <w:r w:rsidRPr="00E116B6" w:rsidR="001F67C1">
        <w:rPr>
          <w:lang w:val="en-GB"/>
        </w:rPr>
        <w:t>He had been consistent i</w:t>
      </w:r>
      <w:r w:rsidRPr="00E116B6" w:rsidR="00861BED">
        <w:rPr>
          <w:lang w:val="en-GB"/>
        </w:rPr>
        <w:t xml:space="preserve">n all those complaints in </w:t>
      </w:r>
      <w:r w:rsidRPr="00E116B6" w:rsidR="000311CC">
        <w:rPr>
          <w:lang w:val="en-GB"/>
        </w:rPr>
        <w:t xml:space="preserve">describing the factual circumstances surrounding the incident. The first applicant then </w:t>
      </w:r>
      <w:r w:rsidRPr="00E116B6" w:rsidR="00C20B02">
        <w:rPr>
          <w:lang w:val="en-GB"/>
        </w:rPr>
        <w:t xml:space="preserve">highlighted </w:t>
      </w:r>
      <w:r w:rsidRPr="00E116B6" w:rsidR="000311CC">
        <w:rPr>
          <w:lang w:val="en-GB"/>
        </w:rPr>
        <w:t>the statements given during the trial by various witnesses</w:t>
      </w:r>
      <w:r w:rsidRPr="00E116B6" w:rsidR="00C20B02">
        <w:rPr>
          <w:lang w:val="en-GB"/>
        </w:rPr>
        <w:t>,</w:t>
      </w:r>
      <w:r w:rsidRPr="00E116B6" w:rsidR="000311CC">
        <w:rPr>
          <w:lang w:val="en-GB"/>
        </w:rPr>
        <w:t xml:space="preserve"> which </w:t>
      </w:r>
      <w:r w:rsidRPr="00E116B6" w:rsidR="00C64BF6">
        <w:rPr>
          <w:lang w:val="en-GB"/>
        </w:rPr>
        <w:t xml:space="preserve">had </w:t>
      </w:r>
      <w:r w:rsidRPr="00E116B6" w:rsidR="000311CC">
        <w:rPr>
          <w:lang w:val="en-GB"/>
        </w:rPr>
        <w:t xml:space="preserve">confirmed the existence of physical injuries </w:t>
      </w:r>
      <w:r w:rsidRPr="00E116B6" w:rsidR="006555F4">
        <w:rPr>
          <w:lang w:val="en-GB"/>
        </w:rPr>
        <w:t xml:space="preserve">on </w:t>
      </w:r>
      <w:r w:rsidRPr="00E116B6" w:rsidR="000311CC">
        <w:rPr>
          <w:lang w:val="en-GB"/>
        </w:rPr>
        <w:t xml:space="preserve">his body, and that those statements </w:t>
      </w:r>
      <w:r w:rsidRPr="00E116B6" w:rsidR="00C20B02">
        <w:rPr>
          <w:lang w:val="en-GB"/>
        </w:rPr>
        <w:t xml:space="preserve">had </w:t>
      </w:r>
      <w:r w:rsidRPr="00E116B6" w:rsidR="000311CC">
        <w:rPr>
          <w:lang w:val="en-GB"/>
        </w:rPr>
        <w:t xml:space="preserve">then </w:t>
      </w:r>
      <w:r w:rsidRPr="00E116B6" w:rsidR="00C20B02">
        <w:rPr>
          <w:lang w:val="en-GB"/>
        </w:rPr>
        <w:t xml:space="preserve">been </w:t>
      </w:r>
      <w:r w:rsidRPr="00E116B6" w:rsidR="000311CC">
        <w:rPr>
          <w:lang w:val="en-GB"/>
        </w:rPr>
        <w:t>endorsed by the domestic courts in their decisions</w:t>
      </w:r>
      <w:r w:rsidRPr="00E116B6" w:rsidR="00F344E9">
        <w:rPr>
          <w:lang w:val="en-GB"/>
        </w:rPr>
        <w:t xml:space="preserve">. </w:t>
      </w:r>
      <w:r w:rsidRPr="00E116B6" w:rsidR="00573FBE">
        <w:rPr>
          <w:lang w:val="en-GB"/>
        </w:rPr>
        <w:t>As regards the deficiency of the investigati</w:t>
      </w:r>
      <w:r w:rsidRPr="00E116B6" w:rsidR="006555F4">
        <w:rPr>
          <w:lang w:val="en-GB"/>
        </w:rPr>
        <w:t xml:space="preserve">on </w:t>
      </w:r>
      <w:r w:rsidRPr="00E116B6" w:rsidR="00573FBE">
        <w:rPr>
          <w:lang w:val="en-GB"/>
        </w:rPr>
        <w:t xml:space="preserve">initiated </w:t>
      </w:r>
      <w:r w:rsidRPr="00E116B6" w:rsidR="006555F4">
        <w:rPr>
          <w:lang w:val="en-GB"/>
        </w:rPr>
        <w:t xml:space="preserve">on </w:t>
      </w:r>
      <w:r w:rsidRPr="00E116B6" w:rsidR="00573FBE">
        <w:rPr>
          <w:lang w:val="en-GB"/>
        </w:rPr>
        <w:t>the basis of his wife</w:t>
      </w:r>
      <w:r w:rsidRPr="00E116B6" w:rsidR="00E116B6">
        <w:rPr>
          <w:lang w:val="en-GB"/>
        </w:rPr>
        <w:t>’</w:t>
      </w:r>
      <w:r w:rsidRPr="00E116B6" w:rsidR="00573FBE">
        <w:rPr>
          <w:lang w:val="en-GB"/>
        </w:rPr>
        <w:t>s criminal complaint of 8 October 2004, the first applicant submitted</w:t>
      </w:r>
      <w:r w:rsidRPr="00E116B6" w:rsidR="00C20B02">
        <w:rPr>
          <w:lang w:val="en-GB"/>
        </w:rPr>
        <w:t>,</w:t>
      </w:r>
      <w:r w:rsidRPr="00E116B6" w:rsidR="00573FBE">
        <w:rPr>
          <w:lang w:val="en-GB"/>
        </w:rPr>
        <w:t xml:space="preserve"> </w:t>
      </w:r>
      <w:r w:rsidRPr="00E116B6" w:rsidR="00C20B02">
        <w:rPr>
          <w:lang w:val="en-GB"/>
        </w:rPr>
        <w:t xml:space="preserve">firstly, </w:t>
      </w:r>
      <w:r w:rsidRPr="00E116B6" w:rsidR="00573FBE">
        <w:rPr>
          <w:lang w:val="en-GB"/>
        </w:rPr>
        <w:t>that that investigati</w:t>
      </w:r>
      <w:r w:rsidRPr="00E116B6" w:rsidR="006555F4">
        <w:rPr>
          <w:lang w:val="en-GB"/>
        </w:rPr>
        <w:t xml:space="preserve">on </w:t>
      </w:r>
      <w:r w:rsidRPr="00E116B6" w:rsidR="00573FBE">
        <w:rPr>
          <w:lang w:val="en-GB"/>
        </w:rPr>
        <w:t xml:space="preserve">had already been </w:t>
      </w:r>
      <w:r w:rsidRPr="00E116B6" w:rsidR="001F67C1">
        <w:rPr>
          <w:lang w:val="en-GB"/>
        </w:rPr>
        <w:t>delayed</w:t>
      </w:r>
      <w:r w:rsidRPr="00E116B6" w:rsidR="00573FBE">
        <w:rPr>
          <w:lang w:val="en-GB"/>
        </w:rPr>
        <w:t xml:space="preserve"> at th</w:t>
      </w:r>
      <w:r w:rsidRPr="00E116B6" w:rsidR="00C20B02">
        <w:rPr>
          <w:lang w:val="en-GB"/>
        </w:rPr>
        <w:t>e</w:t>
      </w:r>
      <w:r w:rsidRPr="00E116B6" w:rsidR="00573FBE">
        <w:rPr>
          <w:lang w:val="en-GB"/>
        </w:rPr>
        <w:t xml:space="preserve"> time, and that his previous complaints, which had originated as early as </w:t>
      </w:r>
      <w:r w:rsidRPr="00E116B6" w:rsidR="006555F4">
        <w:rPr>
          <w:lang w:val="en-GB"/>
        </w:rPr>
        <w:t xml:space="preserve">on </w:t>
      </w:r>
      <w:r w:rsidRPr="00E116B6" w:rsidR="00573FBE">
        <w:rPr>
          <w:lang w:val="en-GB"/>
        </w:rPr>
        <w:t xml:space="preserve">4 June 2004, should </w:t>
      </w:r>
      <w:r w:rsidRPr="00E116B6" w:rsidR="00C20B02">
        <w:rPr>
          <w:lang w:val="en-GB"/>
        </w:rPr>
        <w:t xml:space="preserve">instead </w:t>
      </w:r>
      <w:r w:rsidRPr="00E116B6" w:rsidR="00573FBE">
        <w:rPr>
          <w:lang w:val="en-GB"/>
        </w:rPr>
        <w:t xml:space="preserve">have been treated by the </w:t>
      </w:r>
      <w:r w:rsidRPr="00E116B6" w:rsidR="00262734">
        <w:rPr>
          <w:lang w:val="en-GB"/>
        </w:rPr>
        <w:t>investigative</w:t>
      </w:r>
      <w:r w:rsidRPr="00E116B6" w:rsidR="00573FBE">
        <w:rPr>
          <w:lang w:val="en-GB"/>
        </w:rPr>
        <w:t xml:space="preserve"> authorities with the due diligence. The first applicant </w:t>
      </w:r>
      <w:r w:rsidRPr="00E116B6" w:rsidR="00C20B02">
        <w:rPr>
          <w:lang w:val="en-GB"/>
        </w:rPr>
        <w:t xml:space="preserve">also </w:t>
      </w:r>
      <w:r w:rsidRPr="00E116B6" w:rsidR="00573FBE">
        <w:rPr>
          <w:lang w:val="en-GB"/>
        </w:rPr>
        <w:t xml:space="preserve">criticised the fact that he had never </w:t>
      </w:r>
      <w:r w:rsidRPr="00E116B6" w:rsidR="00C20B02">
        <w:rPr>
          <w:lang w:val="en-GB"/>
        </w:rPr>
        <w:t xml:space="preserve">had the status of a </w:t>
      </w:r>
      <w:r w:rsidRPr="00E116B6" w:rsidR="00573FBE">
        <w:rPr>
          <w:lang w:val="en-GB"/>
        </w:rPr>
        <w:t xml:space="preserve">victim </w:t>
      </w:r>
      <w:r w:rsidRPr="00E116B6" w:rsidR="00C20B02">
        <w:rPr>
          <w:lang w:val="en-GB"/>
        </w:rPr>
        <w:t xml:space="preserve">or been </w:t>
      </w:r>
      <w:r w:rsidRPr="00E116B6" w:rsidR="00573FBE">
        <w:rPr>
          <w:lang w:val="en-GB"/>
        </w:rPr>
        <w:t>involved in th</w:t>
      </w:r>
      <w:r w:rsidRPr="00E116B6" w:rsidR="001F67C1">
        <w:rPr>
          <w:lang w:val="en-GB"/>
        </w:rPr>
        <w:t>e</w:t>
      </w:r>
      <w:r w:rsidRPr="00E116B6" w:rsidR="00573FBE">
        <w:rPr>
          <w:lang w:val="en-GB"/>
        </w:rPr>
        <w:t xml:space="preserve"> investigation. </w:t>
      </w:r>
      <w:r w:rsidRPr="00E116B6" w:rsidR="00C20B02">
        <w:rPr>
          <w:lang w:val="en-GB"/>
        </w:rPr>
        <w:t>Lastly</w:t>
      </w:r>
      <w:r w:rsidRPr="00E116B6" w:rsidR="00262734">
        <w:rPr>
          <w:lang w:val="en-GB"/>
        </w:rPr>
        <w:t>, referring to the fact that the criminal investigati</w:t>
      </w:r>
      <w:r w:rsidRPr="00E116B6" w:rsidR="006555F4">
        <w:rPr>
          <w:lang w:val="en-GB"/>
        </w:rPr>
        <w:t xml:space="preserve">on </w:t>
      </w:r>
      <w:r w:rsidRPr="00E116B6" w:rsidR="00262734">
        <w:rPr>
          <w:lang w:val="en-GB"/>
        </w:rPr>
        <w:t xml:space="preserve">was still </w:t>
      </w:r>
      <w:r w:rsidRPr="00E116B6" w:rsidR="00DF43F4">
        <w:rPr>
          <w:lang w:val="en-GB"/>
        </w:rPr>
        <w:t>ongoing</w:t>
      </w:r>
      <w:r w:rsidRPr="00E116B6" w:rsidR="00262734">
        <w:rPr>
          <w:lang w:val="en-GB"/>
        </w:rPr>
        <w:t xml:space="preserve"> at the domestic level, the applicant concluded </w:t>
      </w:r>
      <w:r w:rsidRPr="00E116B6" w:rsidR="00C20B02">
        <w:rPr>
          <w:lang w:val="en-GB"/>
        </w:rPr>
        <w:t xml:space="preserve">by saying </w:t>
      </w:r>
      <w:r w:rsidRPr="00E116B6" w:rsidR="00262734">
        <w:rPr>
          <w:lang w:val="en-GB"/>
        </w:rPr>
        <w:t>that th</w:t>
      </w:r>
      <w:r w:rsidRPr="00E116B6" w:rsidR="00C20B02">
        <w:rPr>
          <w:lang w:val="en-GB"/>
        </w:rPr>
        <w:t>e</w:t>
      </w:r>
      <w:r w:rsidRPr="00E116B6" w:rsidR="00262734">
        <w:rPr>
          <w:lang w:val="en-GB"/>
        </w:rPr>
        <w:t xml:space="preserve"> failure of the authorities to </w:t>
      </w:r>
      <w:r w:rsidRPr="00E116B6" w:rsidR="001F67C1">
        <w:rPr>
          <w:lang w:val="en-GB"/>
        </w:rPr>
        <w:t xml:space="preserve">arrive at </w:t>
      </w:r>
      <w:r w:rsidRPr="00E116B6" w:rsidR="00262734">
        <w:rPr>
          <w:lang w:val="en-GB"/>
        </w:rPr>
        <w:t xml:space="preserve">any definite findings was the main indicator of </w:t>
      </w:r>
      <w:r w:rsidRPr="00E116B6">
        <w:rPr>
          <w:lang w:val="en-GB"/>
        </w:rPr>
        <w:t>its</w:t>
      </w:r>
      <w:r w:rsidRPr="00E116B6" w:rsidR="00262734">
        <w:rPr>
          <w:lang w:val="en-GB"/>
        </w:rPr>
        <w:t xml:space="preserve"> </w:t>
      </w:r>
      <w:r w:rsidRPr="00E116B6" w:rsidR="00455F79">
        <w:rPr>
          <w:lang w:val="en-GB"/>
        </w:rPr>
        <w:t>inadequacy</w:t>
      </w:r>
      <w:r w:rsidRPr="00E116B6">
        <w:rPr>
          <w:lang w:val="en-GB"/>
        </w:rPr>
        <w:t>.</w:t>
      </w:r>
    </w:p>
    <w:p w:rsidRPr="00E116B6" w:rsidR="000423E3" w:rsidP="00E116B6" w:rsidRDefault="006555F4">
      <w:pPr>
        <w:pStyle w:val="ECHRHeading3"/>
        <w:rPr>
          <w:lang w:val="en-GB"/>
        </w:rPr>
      </w:pPr>
      <w:r w:rsidRPr="00E116B6">
        <w:rPr>
          <w:lang w:val="en-GB"/>
        </w:rPr>
        <w:t>2.  </w:t>
      </w:r>
      <w:r w:rsidRPr="00E116B6" w:rsidR="000423E3">
        <w:rPr>
          <w:lang w:val="en-GB"/>
        </w:rPr>
        <w:t>The Court</w:t>
      </w:r>
      <w:r w:rsidRPr="00E116B6" w:rsidR="00E116B6">
        <w:rPr>
          <w:lang w:val="en-GB"/>
        </w:rPr>
        <w:t>’</w:t>
      </w:r>
      <w:r w:rsidRPr="00E116B6" w:rsidR="000423E3">
        <w:rPr>
          <w:lang w:val="en-GB"/>
        </w:rPr>
        <w:t>s assessment</w:t>
      </w:r>
    </w:p>
    <w:p w:rsidRPr="00E116B6" w:rsidR="00703E97" w:rsidP="00E116B6" w:rsidRDefault="00610493">
      <w:pPr>
        <w:pStyle w:val="ECHRHeading4"/>
        <w:rPr>
          <w:lang w:val="en-GB"/>
        </w:rPr>
      </w:pPr>
      <w:r w:rsidRPr="00E116B6">
        <w:rPr>
          <w:lang w:val="en-GB"/>
        </w:rPr>
        <w:t>(</w:t>
      </w:r>
      <w:r w:rsidRPr="00E116B6" w:rsidR="006B2049">
        <w:rPr>
          <w:lang w:val="en-GB"/>
        </w:rPr>
        <w:t>a</w:t>
      </w:r>
      <w:r w:rsidRPr="00E116B6">
        <w:rPr>
          <w:lang w:val="en-GB"/>
        </w:rPr>
        <w:t>)</w:t>
      </w:r>
      <w:r w:rsidRPr="00E116B6" w:rsidR="006555F4">
        <w:rPr>
          <w:lang w:val="en-GB"/>
        </w:rPr>
        <w:t>  </w:t>
      </w:r>
      <w:r w:rsidRPr="00E116B6" w:rsidR="00703E97">
        <w:rPr>
          <w:lang w:val="en-GB"/>
        </w:rPr>
        <w:t>General principles</w:t>
      </w:r>
    </w:p>
    <w:p w:rsidRPr="00E116B6" w:rsidR="00AC1180" w:rsidP="00E116B6" w:rsidRDefault="00E03E58">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103</w:t>
      </w:r>
      <w:r w:rsidRPr="00E116B6">
        <w:rPr>
          <w:lang w:val="en-GB"/>
        </w:rPr>
        <w:fldChar w:fldCharType="end"/>
      </w:r>
      <w:r w:rsidRPr="00E116B6">
        <w:rPr>
          <w:lang w:val="en-GB"/>
        </w:rPr>
        <w:t>.  The Court reiterates</w:t>
      </w:r>
      <w:r w:rsidRPr="00E116B6" w:rsidR="00610493">
        <w:rPr>
          <w:lang w:val="en-GB"/>
        </w:rPr>
        <w:t xml:space="preserve"> that</w:t>
      </w:r>
      <w:r w:rsidRPr="00E116B6" w:rsidR="00D16CC5">
        <w:rPr>
          <w:lang w:val="en-GB"/>
        </w:rPr>
        <w:t xml:space="preserve"> e</w:t>
      </w:r>
      <w:r w:rsidRPr="00E116B6">
        <w:rPr>
          <w:lang w:val="en-GB"/>
        </w:rPr>
        <w:t xml:space="preserve">ven in the most difficult circumstances, such as the fight against terrorism and organised crime, </w:t>
      </w:r>
      <w:r w:rsidRPr="00E116B6" w:rsidR="00D16CC5">
        <w:rPr>
          <w:lang w:val="en-GB"/>
        </w:rPr>
        <w:t xml:space="preserve">Article 3 of </w:t>
      </w:r>
      <w:r w:rsidRPr="00E116B6">
        <w:rPr>
          <w:lang w:val="en-GB"/>
        </w:rPr>
        <w:t>the Conventi</w:t>
      </w:r>
      <w:r w:rsidRPr="00E116B6" w:rsidR="006555F4">
        <w:rPr>
          <w:lang w:val="en-GB"/>
        </w:rPr>
        <w:t xml:space="preserve">on </w:t>
      </w:r>
      <w:r w:rsidRPr="00E116B6">
        <w:rPr>
          <w:lang w:val="en-GB"/>
        </w:rPr>
        <w:t xml:space="preserve">prohibits in absolute terms torture and inhuman or degrading treatment or punishment (see </w:t>
      </w:r>
      <w:r w:rsidRPr="00E116B6">
        <w:rPr>
          <w:i/>
          <w:lang w:val="en-GB"/>
        </w:rPr>
        <w:t>Selmouni v. France</w:t>
      </w:r>
      <w:r w:rsidRPr="00E116B6">
        <w:rPr>
          <w:lang w:val="en-GB"/>
        </w:rPr>
        <w:t xml:space="preserve"> [GC], no. 25803/94, § 95, ECHR 1999</w:t>
      </w:r>
      <w:r w:rsidRPr="00E116B6" w:rsidR="001F67C1">
        <w:rPr>
          <w:lang w:val="en-GB"/>
        </w:rPr>
        <w:t>-</w:t>
      </w:r>
      <w:r w:rsidRPr="00E116B6">
        <w:rPr>
          <w:lang w:val="en-GB"/>
        </w:rPr>
        <w:t>V, and</w:t>
      </w:r>
      <w:r w:rsidRPr="00E116B6" w:rsidR="00610493">
        <w:rPr>
          <w:lang w:val="en-GB"/>
        </w:rPr>
        <w:t xml:space="preserve"> </w:t>
      </w:r>
      <w:r w:rsidRPr="00E116B6" w:rsidR="00610493">
        <w:rPr>
          <w:i/>
          <w:lang w:val="en-GB"/>
        </w:rPr>
        <w:t>Bouyid v. Belgium</w:t>
      </w:r>
      <w:r w:rsidRPr="00E116B6" w:rsidR="00610493">
        <w:rPr>
          <w:lang w:val="en-GB"/>
        </w:rPr>
        <w:t xml:space="preserve"> [GC], no. 23380/09, § 81, ECHR</w:t>
      </w:r>
      <w:r w:rsidRPr="00E116B6" w:rsidR="00A05C4D">
        <w:rPr>
          <w:lang w:val="en-GB"/>
        </w:rPr>
        <w:t> </w:t>
      </w:r>
      <w:r w:rsidRPr="00E116B6" w:rsidR="00610493">
        <w:rPr>
          <w:lang w:val="en-GB"/>
        </w:rPr>
        <w:t>2015</w:t>
      </w:r>
      <w:r w:rsidRPr="00E116B6">
        <w:rPr>
          <w:lang w:val="en-GB"/>
        </w:rPr>
        <w:t>).</w:t>
      </w:r>
      <w:r w:rsidRPr="00E116B6" w:rsidR="00730E75">
        <w:rPr>
          <w:lang w:val="en-GB"/>
        </w:rPr>
        <w:t xml:space="preserve"> </w:t>
      </w:r>
      <w:r w:rsidRPr="00E116B6">
        <w:rPr>
          <w:lang w:val="en-GB"/>
        </w:rPr>
        <w:t xml:space="preserve">Where allegations are made under Article 3 of the Convention, the Court must conduct a particularly thorough scrutiny and will do so </w:t>
      </w:r>
      <w:r w:rsidRPr="00E116B6" w:rsidR="006555F4">
        <w:rPr>
          <w:lang w:val="en-GB"/>
        </w:rPr>
        <w:t xml:space="preserve">on </w:t>
      </w:r>
      <w:r w:rsidRPr="00E116B6">
        <w:rPr>
          <w:lang w:val="en-GB"/>
        </w:rPr>
        <w:t xml:space="preserve">the basis of all the material submitted by the parties. In assessing evidence, the Court has adopted the standard of proof “beyond reasonable doubt”. Such proof may, however, follow from the coexistence of sufficiently strong, clear and concordant inferences or of similar unrebutted presumptions of fact. Furthermore, where the events </w:t>
      </w:r>
      <w:r w:rsidRPr="00E116B6" w:rsidR="007D7E8C">
        <w:rPr>
          <w:lang w:val="en-GB"/>
        </w:rPr>
        <w:t>at</w:t>
      </w:r>
      <w:r w:rsidRPr="00E116B6">
        <w:rPr>
          <w:lang w:val="en-GB"/>
        </w:rPr>
        <w:t xml:space="preserve"> issue lie wholly or in large part within the exclusive knowledge of the authorities, as in the case of persons within their control in custody, strong presumptions of fact will arise in respect of injuries occurring during detention.</w:t>
      </w:r>
      <w:r w:rsidRPr="00E116B6" w:rsidR="00AC1180">
        <w:rPr>
          <w:lang w:val="en-GB"/>
        </w:rPr>
        <w:t xml:space="preserve"> </w:t>
      </w:r>
      <w:r w:rsidRPr="00E116B6" w:rsidR="00610493">
        <w:rPr>
          <w:lang w:val="en-GB"/>
        </w:rPr>
        <w:t xml:space="preserve">The burden of proof is then </w:t>
      </w:r>
      <w:r w:rsidRPr="00E116B6" w:rsidR="006555F4">
        <w:rPr>
          <w:lang w:val="en-GB"/>
        </w:rPr>
        <w:t xml:space="preserve">on </w:t>
      </w:r>
      <w:r w:rsidRPr="00E116B6" w:rsidR="00610493">
        <w:rPr>
          <w:lang w:val="en-GB"/>
        </w:rPr>
        <w:t>the Government to provide a satisfactory and convincing explanati</w:t>
      </w:r>
      <w:r w:rsidRPr="00E116B6" w:rsidR="006555F4">
        <w:rPr>
          <w:lang w:val="en-GB"/>
        </w:rPr>
        <w:t xml:space="preserve">on </w:t>
      </w:r>
      <w:r w:rsidRPr="00E116B6" w:rsidR="00610493">
        <w:rPr>
          <w:lang w:val="en-GB"/>
        </w:rPr>
        <w:t xml:space="preserve">by producing evidence establishing facts which cast doubt </w:t>
      </w:r>
      <w:r w:rsidRPr="00E116B6" w:rsidR="006555F4">
        <w:rPr>
          <w:lang w:val="en-GB"/>
        </w:rPr>
        <w:t xml:space="preserve">on </w:t>
      </w:r>
      <w:r w:rsidRPr="00E116B6" w:rsidR="00610493">
        <w:rPr>
          <w:lang w:val="en-GB"/>
        </w:rPr>
        <w:t>the account of events given by the victim</w:t>
      </w:r>
      <w:r w:rsidRPr="00E116B6" w:rsidR="00AC1180">
        <w:rPr>
          <w:lang w:val="en-GB"/>
        </w:rPr>
        <w:t xml:space="preserve"> </w:t>
      </w:r>
      <w:r w:rsidRPr="00E116B6">
        <w:rPr>
          <w:lang w:val="en-GB"/>
        </w:rPr>
        <w:t xml:space="preserve">(see </w:t>
      </w:r>
      <w:r w:rsidRPr="00E116B6" w:rsidR="00610493">
        <w:rPr>
          <w:i/>
          <w:lang w:val="en-GB"/>
        </w:rPr>
        <w:t>Bouyid</w:t>
      </w:r>
      <w:r w:rsidRPr="00E116B6" w:rsidR="00610493">
        <w:rPr>
          <w:lang w:val="en-GB"/>
        </w:rPr>
        <w:t xml:space="preserve">, cited above, </w:t>
      </w:r>
      <w:r w:rsidRPr="00E116B6" w:rsidR="00610493">
        <w:rPr>
          <w:rFonts w:cstheme="minorHAnsi"/>
          <w:lang w:val="en-GB"/>
        </w:rPr>
        <w:t>§§</w:t>
      </w:r>
      <w:r w:rsidRPr="00E116B6" w:rsidR="00A05C4D">
        <w:rPr>
          <w:lang w:val="en-GB"/>
        </w:rPr>
        <w:t> </w:t>
      </w:r>
      <w:r w:rsidRPr="00E116B6" w:rsidR="006555F4">
        <w:rPr>
          <w:lang w:val="en-GB"/>
        </w:rPr>
        <w:t>82</w:t>
      </w:r>
      <w:r w:rsidRPr="00E116B6" w:rsidR="006555F4">
        <w:rPr>
          <w:lang w:val="en-GB"/>
        </w:rPr>
        <w:noBreakHyphen/>
      </w:r>
      <w:r w:rsidRPr="00E116B6" w:rsidR="00610493">
        <w:rPr>
          <w:lang w:val="en-GB"/>
        </w:rPr>
        <w:t>83</w:t>
      </w:r>
      <w:r w:rsidRPr="00E116B6">
        <w:rPr>
          <w:lang w:val="en-GB"/>
        </w:rPr>
        <w:t>).</w:t>
      </w:r>
    </w:p>
    <w:p w:rsidRPr="00E116B6" w:rsidR="00E03E58" w:rsidP="00E116B6" w:rsidRDefault="004C4CF3">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104</w:t>
      </w:r>
      <w:r w:rsidRPr="00E116B6">
        <w:rPr>
          <w:lang w:val="en-GB"/>
        </w:rPr>
        <w:fldChar w:fldCharType="end"/>
      </w:r>
      <w:r w:rsidRPr="00E116B6" w:rsidR="00E03E58">
        <w:rPr>
          <w:lang w:val="en-GB"/>
        </w:rPr>
        <w:t>.  </w:t>
      </w:r>
      <w:r w:rsidRPr="00E116B6" w:rsidR="00CA1030">
        <w:rPr>
          <w:lang w:val="en-GB"/>
        </w:rPr>
        <w:t>Whenever</w:t>
      </w:r>
      <w:r w:rsidRPr="00E116B6" w:rsidR="00E03E58">
        <w:rPr>
          <w:lang w:val="en-GB"/>
        </w:rPr>
        <w:t xml:space="preserve"> an individual makes a credible asserti</w:t>
      </w:r>
      <w:r w:rsidRPr="00E116B6" w:rsidR="006555F4">
        <w:rPr>
          <w:lang w:val="en-GB"/>
        </w:rPr>
        <w:t xml:space="preserve">on </w:t>
      </w:r>
      <w:r w:rsidRPr="00E116B6" w:rsidR="00E03E58">
        <w:rPr>
          <w:lang w:val="en-GB"/>
        </w:rPr>
        <w:t>that he has suffered treatment infringing Article 3 at the hands of the police or other similar agents of the State, that provision, read in conjuncti</w:t>
      </w:r>
      <w:r w:rsidRPr="00E116B6" w:rsidR="006555F4">
        <w:rPr>
          <w:lang w:val="en-GB"/>
        </w:rPr>
        <w:t xml:space="preserve">on </w:t>
      </w:r>
      <w:r w:rsidRPr="00E116B6" w:rsidR="00E03E58">
        <w:rPr>
          <w:lang w:val="en-GB"/>
        </w:rPr>
        <w:t>with the State</w:t>
      </w:r>
      <w:r w:rsidRPr="00E116B6" w:rsidR="00E116B6">
        <w:rPr>
          <w:lang w:val="en-GB"/>
        </w:rPr>
        <w:t>’</w:t>
      </w:r>
      <w:r w:rsidRPr="00E116B6" w:rsidR="00E03E58">
        <w:rPr>
          <w:lang w:val="en-GB"/>
        </w:rPr>
        <w:t>s general duty under Article 1 of the Conventi</w:t>
      </w:r>
      <w:r w:rsidRPr="00E116B6" w:rsidR="006555F4">
        <w:rPr>
          <w:lang w:val="en-GB"/>
        </w:rPr>
        <w:t xml:space="preserve">on </w:t>
      </w:r>
      <w:r w:rsidRPr="00E116B6" w:rsidR="00E03E58">
        <w:rPr>
          <w:lang w:val="en-GB"/>
        </w:rPr>
        <w:t>to “secure to everyone within their jurisdicti</w:t>
      </w:r>
      <w:r w:rsidRPr="00E116B6" w:rsidR="006555F4">
        <w:rPr>
          <w:lang w:val="en-GB"/>
        </w:rPr>
        <w:t xml:space="preserve">on </w:t>
      </w:r>
      <w:r w:rsidRPr="00E116B6" w:rsidR="00E03E58">
        <w:rPr>
          <w:lang w:val="en-GB"/>
        </w:rPr>
        <w:t>the rights and freedoms defined in ... [the] Convention”, requires by implicati</w:t>
      </w:r>
      <w:r w:rsidRPr="00E116B6" w:rsidR="006555F4">
        <w:rPr>
          <w:lang w:val="en-GB"/>
        </w:rPr>
        <w:t xml:space="preserve">on </w:t>
      </w:r>
      <w:r w:rsidRPr="00E116B6" w:rsidR="00E03E58">
        <w:rPr>
          <w:lang w:val="en-GB"/>
        </w:rPr>
        <w:t>that there should be an effective official investigation. Such an investigati</w:t>
      </w:r>
      <w:r w:rsidRPr="00E116B6" w:rsidR="006555F4">
        <w:rPr>
          <w:lang w:val="en-GB"/>
        </w:rPr>
        <w:t xml:space="preserve">on </w:t>
      </w:r>
      <w:r w:rsidRPr="00E116B6" w:rsidR="00E03E58">
        <w:rPr>
          <w:lang w:val="en-GB"/>
        </w:rPr>
        <w:t>should be capable of leading to the identificati</w:t>
      </w:r>
      <w:r w:rsidRPr="00E116B6" w:rsidR="006555F4">
        <w:rPr>
          <w:lang w:val="en-GB"/>
        </w:rPr>
        <w:t xml:space="preserve">on </w:t>
      </w:r>
      <w:r w:rsidRPr="00E116B6" w:rsidR="00E03E58">
        <w:rPr>
          <w:lang w:val="en-GB"/>
        </w:rPr>
        <w:t xml:space="preserve">and punishment of those responsible (see </w:t>
      </w:r>
      <w:r w:rsidRPr="00E116B6" w:rsidR="004613E6">
        <w:rPr>
          <w:i/>
          <w:lang w:val="en-GB"/>
        </w:rPr>
        <w:t>Labita v. </w:t>
      </w:r>
      <w:r w:rsidRPr="00E116B6" w:rsidR="00E03E58">
        <w:rPr>
          <w:i/>
          <w:lang w:val="en-GB"/>
        </w:rPr>
        <w:t>Italy</w:t>
      </w:r>
      <w:r w:rsidRPr="00E116B6" w:rsidR="006555F4">
        <w:rPr>
          <w:lang w:val="en-GB"/>
        </w:rPr>
        <w:t xml:space="preserve"> </w:t>
      </w:r>
      <w:r w:rsidRPr="00E116B6" w:rsidR="00E03E58">
        <w:rPr>
          <w:lang w:val="en-GB"/>
        </w:rPr>
        <w:t>[GC], no. 26772/95, § 131, ECHR 2000-IV). If this were not the case, the general legal prohibiti</w:t>
      </w:r>
      <w:r w:rsidRPr="00E116B6" w:rsidR="006555F4">
        <w:rPr>
          <w:lang w:val="en-GB"/>
        </w:rPr>
        <w:t xml:space="preserve">on </w:t>
      </w:r>
      <w:r w:rsidRPr="00E116B6" w:rsidR="00E03E58">
        <w:rPr>
          <w:lang w:val="en-GB"/>
        </w:rPr>
        <w:t>of torture and inhuman and degrading treatment and punishment, despite its fundamental importance, would be ineffective in practice and it would be possible in some cases for agents of the State to abuse the rights of those within their control with virtual impunity (</w:t>
      </w:r>
      <w:r w:rsidRPr="00E116B6" w:rsidR="00610493">
        <w:rPr>
          <w:i/>
          <w:lang w:val="en-GB"/>
        </w:rPr>
        <w:t>ibidem</w:t>
      </w:r>
      <w:r w:rsidRPr="00E116B6" w:rsidR="00E03E58">
        <w:rPr>
          <w:lang w:val="en-GB"/>
        </w:rPr>
        <w:t>).</w:t>
      </w:r>
      <w:r w:rsidRPr="00E116B6" w:rsidR="00730E75">
        <w:rPr>
          <w:lang w:val="en-GB"/>
        </w:rPr>
        <w:t xml:space="preserve"> </w:t>
      </w:r>
      <w:r w:rsidRPr="00E116B6" w:rsidR="00E03E58">
        <w:rPr>
          <w:lang w:val="en-GB"/>
        </w:rPr>
        <w:t>Any investigati</w:t>
      </w:r>
      <w:r w:rsidRPr="00E116B6" w:rsidR="006555F4">
        <w:rPr>
          <w:lang w:val="en-GB"/>
        </w:rPr>
        <w:t xml:space="preserve">on </w:t>
      </w:r>
      <w:r w:rsidRPr="00E116B6" w:rsidR="00E03E58">
        <w:rPr>
          <w:lang w:val="en-GB"/>
        </w:rPr>
        <w:t xml:space="preserve">into serious allegations of ill-treatment must be both prompt and thorough. That means that the authorities must always make a serious attempt to find out what has happened and should not rely </w:t>
      </w:r>
      <w:r w:rsidRPr="00E116B6" w:rsidR="006555F4">
        <w:rPr>
          <w:lang w:val="en-GB"/>
        </w:rPr>
        <w:t xml:space="preserve">on </w:t>
      </w:r>
      <w:r w:rsidRPr="00E116B6" w:rsidR="00E03E58">
        <w:rPr>
          <w:lang w:val="en-GB"/>
        </w:rPr>
        <w:t>hasty or ill-founded conclusions to close their investigati</w:t>
      </w:r>
      <w:r w:rsidRPr="00E116B6" w:rsidR="006555F4">
        <w:rPr>
          <w:lang w:val="en-GB"/>
        </w:rPr>
        <w:t xml:space="preserve">on </w:t>
      </w:r>
      <w:r w:rsidRPr="00E116B6" w:rsidR="00E03E58">
        <w:rPr>
          <w:lang w:val="en-GB"/>
        </w:rPr>
        <w:t>or to use as the basis for their decisions. Any deficiency in the investigati</w:t>
      </w:r>
      <w:r w:rsidRPr="00E116B6" w:rsidR="006555F4">
        <w:rPr>
          <w:lang w:val="en-GB"/>
        </w:rPr>
        <w:t xml:space="preserve">on </w:t>
      </w:r>
      <w:r w:rsidRPr="00E116B6" w:rsidR="00E03E58">
        <w:rPr>
          <w:lang w:val="en-GB"/>
        </w:rPr>
        <w:t>which undermines its ability to establish the cause of injuries or the identity of the persons responsible will risk fall</w:t>
      </w:r>
      <w:r w:rsidRPr="00E116B6" w:rsidR="00222C98">
        <w:rPr>
          <w:lang w:val="en-GB"/>
        </w:rPr>
        <w:t xml:space="preserve">ing foul of this standard (see </w:t>
      </w:r>
      <w:r w:rsidRPr="00E116B6" w:rsidR="00E03E58">
        <w:rPr>
          <w:i/>
          <w:lang w:val="en-GB"/>
        </w:rPr>
        <w:t>El-Masri v.</w:t>
      </w:r>
      <w:r w:rsidRPr="00E116B6" w:rsidR="006555F4">
        <w:rPr>
          <w:i/>
          <w:lang w:val="en-GB"/>
        </w:rPr>
        <w:t xml:space="preserve"> </w:t>
      </w:r>
      <w:r w:rsidRPr="00E116B6" w:rsidR="00E03E58">
        <w:rPr>
          <w:i/>
          <w:lang w:val="en-GB"/>
        </w:rPr>
        <w:t>the former Yugoslav Republic of Macedonia</w:t>
      </w:r>
      <w:r w:rsidRPr="00E116B6" w:rsidR="00E03E58">
        <w:rPr>
          <w:lang w:val="en-GB"/>
        </w:rPr>
        <w:t xml:space="preserve"> [GC], no. 39630/09, § 183, ECHR</w:t>
      </w:r>
      <w:r w:rsidRPr="00E116B6" w:rsidR="00A05C4D">
        <w:rPr>
          <w:lang w:val="en-GB"/>
        </w:rPr>
        <w:t> </w:t>
      </w:r>
      <w:r w:rsidRPr="00E116B6" w:rsidR="00E03E58">
        <w:rPr>
          <w:lang w:val="en-GB"/>
        </w:rPr>
        <w:t>2012).</w:t>
      </w:r>
    </w:p>
    <w:p w:rsidRPr="00E116B6" w:rsidR="00703E97" w:rsidP="00E116B6" w:rsidRDefault="006B2049">
      <w:pPr>
        <w:pStyle w:val="ECHRHeading4"/>
        <w:rPr>
          <w:lang w:val="en-GB"/>
        </w:rPr>
      </w:pPr>
      <w:r w:rsidRPr="00E116B6">
        <w:rPr>
          <w:lang w:val="en-GB"/>
        </w:rPr>
        <w:t>(b)</w:t>
      </w:r>
      <w:r w:rsidRPr="00E116B6" w:rsidR="006555F4">
        <w:rPr>
          <w:lang w:val="en-GB"/>
        </w:rPr>
        <w:t>  </w:t>
      </w:r>
      <w:r w:rsidRPr="00E116B6" w:rsidR="00703E97">
        <w:rPr>
          <w:lang w:val="en-GB"/>
        </w:rPr>
        <w:t>Applicati</w:t>
      </w:r>
      <w:r w:rsidRPr="00E116B6" w:rsidR="006555F4">
        <w:rPr>
          <w:lang w:val="en-GB"/>
        </w:rPr>
        <w:t xml:space="preserve">on </w:t>
      </w:r>
      <w:r w:rsidRPr="00E116B6" w:rsidR="00703E97">
        <w:rPr>
          <w:lang w:val="en-GB"/>
        </w:rPr>
        <w:t>of the above principles to the circumstances of the case</w:t>
      </w:r>
    </w:p>
    <w:p w:rsidRPr="00E116B6" w:rsidR="0098181B" w:rsidP="00E116B6" w:rsidRDefault="00730E75">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105</w:t>
      </w:r>
      <w:r w:rsidRPr="00E116B6">
        <w:rPr>
          <w:lang w:val="en-GB"/>
        </w:rPr>
        <w:fldChar w:fldCharType="end"/>
      </w:r>
      <w:r w:rsidRPr="00E116B6">
        <w:rPr>
          <w:lang w:val="en-GB"/>
        </w:rPr>
        <w:t>.  </w:t>
      </w:r>
      <w:r w:rsidRPr="00E116B6" w:rsidR="006412FF">
        <w:rPr>
          <w:lang w:val="en-GB"/>
        </w:rPr>
        <w:t>At the outset, and in reply to the Government</w:t>
      </w:r>
      <w:r w:rsidRPr="00E116B6" w:rsidR="00E116B6">
        <w:rPr>
          <w:lang w:val="en-GB"/>
        </w:rPr>
        <w:t>’</w:t>
      </w:r>
      <w:r w:rsidRPr="00E116B6" w:rsidR="006412FF">
        <w:rPr>
          <w:lang w:val="en-GB"/>
        </w:rPr>
        <w:t>s argument that the first applicant</w:t>
      </w:r>
      <w:r w:rsidRPr="00E116B6" w:rsidR="00FF4EFF">
        <w:rPr>
          <w:lang w:val="en-GB"/>
        </w:rPr>
        <w:t xml:space="preserve"> was at </w:t>
      </w:r>
      <w:r w:rsidRPr="00E116B6" w:rsidR="006412FF">
        <w:rPr>
          <w:lang w:val="en-GB"/>
        </w:rPr>
        <w:t xml:space="preserve">fault </w:t>
      </w:r>
      <w:r w:rsidRPr="00E116B6" w:rsidR="00FF4EFF">
        <w:rPr>
          <w:lang w:val="en-GB"/>
        </w:rPr>
        <w:t xml:space="preserve">for </w:t>
      </w:r>
      <w:r w:rsidRPr="00E116B6" w:rsidR="006412FF">
        <w:rPr>
          <w:lang w:val="en-GB"/>
        </w:rPr>
        <w:t>not complain</w:t>
      </w:r>
      <w:r w:rsidRPr="00E116B6" w:rsidR="00FF4EFF">
        <w:rPr>
          <w:lang w:val="en-GB"/>
        </w:rPr>
        <w:t xml:space="preserve">ing </w:t>
      </w:r>
      <w:r w:rsidRPr="00E116B6" w:rsidR="006412FF">
        <w:rPr>
          <w:lang w:val="en-GB"/>
        </w:rPr>
        <w:t>about the alleged police abuse and fail</w:t>
      </w:r>
      <w:r w:rsidRPr="00E116B6" w:rsidR="00FF4EFF">
        <w:rPr>
          <w:lang w:val="en-GB"/>
        </w:rPr>
        <w:t xml:space="preserve">ing </w:t>
      </w:r>
      <w:r w:rsidRPr="00E116B6" w:rsidR="006412FF">
        <w:rPr>
          <w:lang w:val="en-GB"/>
        </w:rPr>
        <w:t>to obtain a medical certificate in a more timely manner (see paragraph</w:t>
      </w:r>
      <w:r w:rsidRPr="00E116B6" w:rsidR="00602719">
        <w:rPr>
          <w:lang w:val="en-GB"/>
        </w:rPr>
        <w:t xml:space="preserve"> </w:t>
      </w:r>
      <w:r w:rsidRPr="00E116B6" w:rsidR="00602719">
        <w:rPr>
          <w:lang w:val="en-GB"/>
        </w:rPr>
        <w:fldChar w:fldCharType="begin"/>
      </w:r>
      <w:r w:rsidRPr="00E116B6" w:rsidR="00602719">
        <w:rPr>
          <w:lang w:val="en-GB"/>
        </w:rPr>
        <w:instrText xml:space="preserve"> REF govargument \h </w:instrText>
      </w:r>
      <w:r w:rsidRPr="00E116B6" w:rsidR="00602719">
        <w:rPr>
          <w:lang w:val="en-GB"/>
        </w:rPr>
      </w:r>
      <w:r w:rsidRPr="00E116B6" w:rsidR="00602719">
        <w:rPr>
          <w:lang w:val="en-GB"/>
        </w:rPr>
        <w:fldChar w:fldCharType="separate"/>
      </w:r>
      <w:r w:rsidRPr="00E116B6" w:rsidR="00E116B6">
        <w:rPr>
          <w:noProof/>
          <w:lang w:val="en-GB"/>
        </w:rPr>
        <w:t>101</w:t>
      </w:r>
      <w:r w:rsidRPr="00E116B6" w:rsidR="00602719">
        <w:rPr>
          <w:lang w:val="en-GB"/>
        </w:rPr>
        <w:fldChar w:fldCharType="end"/>
      </w:r>
      <w:r w:rsidRPr="00E116B6" w:rsidR="00602719">
        <w:rPr>
          <w:lang w:val="en-GB"/>
        </w:rPr>
        <w:t xml:space="preserve"> </w:t>
      </w:r>
      <w:r w:rsidRPr="00E116B6" w:rsidR="006412FF">
        <w:rPr>
          <w:lang w:val="en-GB"/>
        </w:rPr>
        <w:t xml:space="preserve">above), the Court observes that it was not until 4 June 2004 that the applicant </w:t>
      </w:r>
      <w:r w:rsidRPr="00E116B6" w:rsidR="007D7E8C">
        <w:rPr>
          <w:lang w:val="en-GB"/>
        </w:rPr>
        <w:t>was</w:t>
      </w:r>
      <w:r w:rsidRPr="00E116B6" w:rsidR="006412FF">
        <w:rPr>
          <w:lang w:val="en-GB"/>
        </w:rPr>
        <w:t xml:space="preserve"> able to benefit from </w:t>
      </w:r>
      <w:r w:rsidRPr="00E116B6" w:rsidR="00222C98">
        <w:rPr>
          <w:lang w:val="en-GB"/>
        </w:rPr>
        <w:t xml:space="preserve">legal assistance </w:t>
      </w:r>
      <w:r w:rsidRPr="00E116B6" w:rsidR="007D7E8C">
        <w:rPr>
          <w:lang w:val="en-GB"/>
        </w:rPr>
        <w:t xml:space="preserve">from </w:t>
      </w:r>
      <w:r w:rsidRPr="00E116B6" w:rsidR="00697604">
        <w:rPr>
          <w:lang w:val="en-GB"/>
        </w:rPr>
        <w:t>someone</w:t>
      </w:r>
      <w:r w:rsidRPr="00E116B6" w:rsidR="006412FF">
        <w:rPr>
          <w:lang w:val="en-GB"/>
        </w:rPr>
        <w:t xml:space="preserve"> </w:t>
      </w:r>
      <w:r w:rsidRPr="00E116B6" w:rsidR="00697604">
        <w:rPr>
          <w:lang w:val="en-GB"/>
        </w:rPr>
        <w:t>he</w:t>
      </w:r>
      <w:r w:rsidRPr="00E116B6" w:rsidR="006E46ED">
        <w:rPr>
          <w:lang w:val="en-GB"/>
        </w:rPr>
        <w:t xml:space="preserve"> </w:t>
      </w:r>
      <w:r w:rsidRPr="00E116B6" w:rsidR="00697604">
        <w:rPr>
          <w:lang w:val="en-GB"/>
        </w:rPr>
        <w:t>could really trust</w:t>
      </w:r>
      <w:r w:rsidRPr="00E116B6" w:rsidR="006E46ED">
        <w:rPr>
          <w:lang w:val="en-GB"/>
        </w:rPr>
        <w:t xml:space="preserve"> from his own perspective</w:t>
      </w:r>
      <w:r w:rsidRPr="00E116B6" w:rsidR="00697604">
        <w:rPr>
          <w:lang w:val="en-GB"/>
        </w:rPr>
        <w:t xml:space="preserve">, </w:t>
      </w:r>
      <w:r w:rsidRPr="00E116B6" w:rsidR="009B1FE0">
        <w:rPr>
          <w:lang w:val="en-GB"/>
        </w:rPr>
        <w:t xml:space="preserve">that is, </w:t>
      </w:r>
      <w:r w:rsidRPr="00E116B6" w:rsidR="00697604">
        <w:rPr>
          <w:lang w:val="en-GB"/>
        </w:rPr>
        <w:t>a lawyer appointed for him by his family</w:t>
      </w:r>
      <w:r w:rsidRPr="00E116B6" w:rsidR="009F2755">
        <w:rPr>
          <w:lang w:val="en-GB"/>
        </w:rPr>
        <w:t xml:space="preserve"> (see paragraph 12 above)</w:t>
      </w:r>
      <w:r w:rsidRPr="00E116B6" w:rsidR="00697604">
        <w:rPr>
          <w:lang w:val="en-GB"/>
        </w:rPr>
        <w:t>. Consequently, it is plausible that prior to that date</w:t>
      </w:r>
      <w:r w:rsidRPr="00E116B6" w:rsidR="007D7E8C">
        <w:rPr>
          <w:lang w:val="en-GB"/>
        </w:rPr>
        <w:t xml:space="preserve"> he was discouraged from making any complaints</w:t>
      </w:r>
      <w:r w:rsidRPr="00E116B6" w:rsidR="009B1FE0">
        <w:rPr>
          <w:lang w:val="en-GB"/>
        </w:rPr>
        <w:t xml:space="preserve"> as he had </w:t>
      </w:r>
      <w:r w:rsidRPr="00E116B6" w:rsidR="007D7E8C">
        <w:rPr>
          <w:lang w:val="en-GB"/>
        </w:rPr>
        <w:t xml:space="preserve">been </w:t>
      </w:r>
      <w:r w:rsidRPr="00E116B6" w:rsidR="00697604">
        <w:rPr>
          <w:lang w:val="en-GB"/>
        </w:rPr>
        <w:t xml:space="preserve">left alone in the hands of police officers whom he directly accused of torture and </w:t>
      </w:r>
      <w:r w:rsidRPr="00E116B6" w:rsidR="009B1FE0">
        <w:rPr>
          <w:lang w:val="en-GB"/>
        </w:rPr>
        <w:t xml:space="preserve">of </w:t>
      </w:r>
      <w:r w:rsidRPr="00E116B6" w:rsidR="00697604">
        <w:rPr>
          <w:lang w:val="en-GB"/>
        </w:rPr>
        <w:t>pris</w:t>
      </w:r>
      <w:r w:rsidRPr="00E116B6" w:rsidR="006555F4">
        <w:rPr>
          <w:lang w:val="en-GB"/>
        </w:rPr>
        <w:t xml:space="preserve">on </w:t>
      </w:r>
      <w:r w:rsidRPr="00E116B6" w:rsidR="00697604">
        <w:rPr>
          <w:lang w:val="en-GB"/>
        </w:rPr>
        <w:t>staff who</w:t>
      </w:r>
      <w:r w:rsidRPr="00E116B6" w:rsidR="009B1FE0">
        <w:rPr>
          <w:lang w:val="en-GB"/>
        </w:rPr>
        <w:t>,</w:t>
      </w:r>
      <w:r w:rsidRPr="00E116B6" w:rsidR="00697604">
        <w:rPr>
          <w:lang w:val="en-GB"/>
        </w:rPr>
        <w:t xml:space="preserve"> </w:t>
      </w:r>
      <w:r w:rsidRPr="00E116B6" w:rsidR="00222C98">
        <w:rPr>
          <w:lang w:val="en-GB"/>
        </w:rPr>
        <w:t>in his opinion</w:t>
      </w:r>
      <w:r w:rsidRPr="00E116B6" w:rsidR="009B1FE0">
        <w:rPr>
          <w:lang w:val="en-GB"/>
        </w:rPr>
        <w:t>,</w:t>
      </w:r>
      <w:r w:rsidRPr="00E116B6" w:rsidR="00222C98">
        <w:rPr>
          <w:lang w:val="en-GB"/>
        </w:rPr>
        <w:t xml:space="preserve"> </w:t>
      </w:r>
      <w:r w:rsidRPr="00E116B6" w:rsidR="00697604">
        <w:rPr>
          <w:lang w:val="en-GB"/>
        </w:rPr>
        <w:t xml:space="preserve">might have had close official links with the presumed perpetrators, </w:t>
      </w:r>
      <w:r w:rsidRPr="00E116B6" w:rsidR="009B1FE0">
        <w:rPr>
          <w:lang w:val="en-GB"/>
        </w:rPr>
        <w:t xml:space="preserve">all the time </w:t>
      </w:r>
      <w:r w:rsidRPr="00E116B6" w:rsidR="00697604">
        <w:rPr>
          <w:lang w:val="en-GB"/>
        </w:rPr>
        <w:t>without any meaningful assistance from the outside world (</w:t>
      </w:r>
      <w:r w:rsidRPr="00E116B6" w:rsidR="00D16CC5">
        <w:rPr>
          <w:lang w:val="en-GB"/>
        </w:rPr>
        <w:t>compare</w:t>
      </w:r>
      <w:r w:rsidRPr="00E116B6" w:rsidR="00697604">
        <w:rPr>
          <w:lang w:val="en-GB"/>
        </w:rPr>
        <w:t>, for instance,</w:t>
      </w:r>
      <w:r w:rsidRPr="00E116B6" w:rsidR="00D16CC5">
        <w:rPr>
          <w:lang w:val="en-GB"/>
        </w:rPr>
        <w:t xml:space="preserve"> with</w:t>
      </w:r>
      <w:r w:rsidRPr="00E116B6" w:rsidR="00697604">
        <w:rPr>
          <w:lang w:val="en-GB"/>
        </w:rPr>
        <w:t xml:space="preserve"> </w:t>
      </w:r>
      <w:r w:rsidRPr="00E116B6" w:rsidR="006555F4">
        <w:rPr>
          <w:i/>
          <w:lang w:val="en-GB"/>
        </w:rPr>
        <w:t>Dvalishvili v. </w:t>
      </w:r>
      <w:r w:rsidRPr="00E116B6" w:rsidR="00697604">
        <w:rPr>
          <w:i/>
          <w:lang w:val="en-GB"/>
        </w:rPr>
        <w:t>Georgia</w:t>
      </w:r>
      <w:r w:rsidRPr="00E116B6" w:rsidR="00697604">
        <w:rPr>
          <w:lang w:val="en-GB"/>
        </w:rPr>
        <w:t>, no.</w:t>
      </w:r>
      <w:r w:rsidRPr="00E116B6" w:rsidR="006555F4">
        <w:rPr>
          <w:lang w:val="en-GB"/>
        </w:rPr>
        <w:t xml:space="preserve"> </w:t>
      </w:r>
      <w:r w:rsidRPr="00E116B6" w:rsidR="00697604">
        <w:rPr>
          <w:lang w:val="en-GB"/>
        </w:rPr>
        <w:t>19634/07</w:t>
      </w:r>
      <w:r w:rsidRPr="00E116B6" w:rsidR="00697604">
        <w:rPr>
          <w:snapToGrid w:val="0"/>
          <w:lang w:val="en-GB"/>
        </w:rPr>
        <w:t>, §</w:t>
      </w:r>
      <w:r w:rsidRPr="00E116B6" w:rsidR="00C579B9">
        <w:rPr>
          <w:rFonts w:cstheme="minorHAnsi"/>
          <w:snapToGrid w:val="0"/>
          <w:lang w:val="en-GB"/>
        </w:rPr>
        <w:t>§</w:t>
      </w:r>
      <w:r w:rsidRPr="00E116B6" w:rsidR="00697604">
        <w:rPr>
          <w:snapToGrid w:val="0"/>
          <w:lang w:val="en-GB"/>
        </w:rPr>
        <w:t xml:space="preserve"> 44</w:t>
      </w:r>
      <w:r w:rsidRPr="00E116B6" w:rsidR="00C579B9">
        <w:rPr>
          <w:snapToGrid w:val="0"/>
          <w:lang w:val="en-GB"/>
        </w:rPr>
        <w:t xml:space="preserve"> and 47</w:t>
      </w:r>
      <w:r w:rsidRPr="00E116B6" w:rsidR="00697604">
        <w:rPr>
          <w:snapToGrid w:val="0"/>
          <w:lang w:val="en-GB"/>
        </w:rPr>
        <w:t>, 18</w:t>
      </w:r>
      <w:r w:rsidRPr="00E116B6" w:rsidR="00A05C4D">
        <w:rPr>
          <w:snapToGrid w:val="0"/>
          <w:lang w:val="en-GB"/>
        </w:rPr>
        <w:t> </w:t>
      </w:r>
      <w:r w:rsidRPr="00E116B6" w:rsidR="00697604">
        <w:rPr>
          <w:snapToGrid w:val="0"/>
          <w:lang w:val="en-GB"/>
        </w:rPr>
        <w:t>December 2012</w:t>
      </w:r>
      <w:r w:rsidRPr="00E116B6" w:rsidR="00697604">
        <w:rPr>
          <w:lang w:val="en-GB"/>
        </w:rPr>
        <w:t xml:space="preserve">; </w:t>
      </w:r>
      <w:r w:rsidRPr="00E116B6" w:rsidR="006555F4">
        <w:rPr>
          <w:i/>
          <w:lang w:val="en-GB"/>
        </w:rPr>
        <w:t>Nechiporuk and </w:t>
      </w:r>
      <w:r w:rsidRPr="00E116B6" w:rsidR="009F0DE4">
        <w:rPr>
          <w:i/>
          <w:lang w:val="en-GB"/>
        </w:rPr>
        <w:t>Yonkalo v.</w:t>
      </w:r>
      <w:r w:rsidRPr="00E116B6" w:rsidR="006555F4">
        <w:rPr>
          <w:i/>
          <w:lang w:val="en-GB"/>
        </w:rPr>
        <w:t xml:space="preserve"> </w:t>
      </w:r>
      <w:r w:rsidRPr="00E116B6" w:rsidR="009F0DE4">
        <w:rPr>
          <w:i/>
          <w:lang w:val="en-GB"/>
        </w:rPr>
        <w:t>Ukraine</w:t>
      </w:r>
      <w:r w:rsidRPr="00E116B6" w:rsidR="009F0DE4">
        <w:rPr>
          <w:lang w:val="en-GB"/>
        </w:rPr>
        <w:t>, no. 42310/04</w:t>
      </w:r>
      <w:r w:rsidRPr="00E116B6" w:rsidR="009F0DE4">
        <w:rPr>
          <w:snapToGrid w:val="0"/>
          <w:szCs w:val="24"/>
          <w:lang w:val="en-GB"/>
        </w:rPr>
        <w:t>, §</w:t>
      </w:r>
      <w:r w:rsidRPr="00E116B6" w:rsidR="00A05C4D">
        <w:rPr>
          <w:snapToGrid w:val="0"/>
          <w:szCs w:val="24"/>
          <w:lang w:val="en-GB"/>
        </w:rPr>
        <w:t> </w:t>
      </w:r>
      <w:r w:rsidRPr="00E116B6" w:rsidR="009F0DE4">
        <w:rPr>
          <w:snapToGrid w:val="0"/>
          <w:szCs w:val="24"/>
          <w:lang w:val="en-GB"/>
        </w:rPr>
        <w:t xml:space="preserve">153, </w:t>
      </w:r>
      <w:r w:rsidRPr="00E116B6" w:rsidR="009F0DE4">
        <w:rPr>
          <w:szCs w:val="24"/>
          <w:lang w:val="en-GB"/>
        </w:rPr>
        <w:t>21</w:t>
      </w:r>
      <w:r w:rsidRPr="00E116B6" w:rsidR="009F0DE4">
        <w:rPr>
          <w:snapToGrid w:val="0"/>
          <w:szCs w:val="24"/>
          <w:lang w:val="en-GB"/>
        </w:rPr>
        <w:t xml:space="preserve"> April 2011, and </w:t>
      </w:r>
      <w:r w:rsidRPr="00E116B6" w:rsidR="00697604">
        <w:rPr>
          <w:i/>
          <w:lang w:val="en-GB"/>
        </w:rPr>
        <w:t>Nadrosov v. Russia</w:t>
      </w:r>
      <w:r w:rsidRPr="00E116B6" w:rsidR="00697604">
        <w:rPr>
          <w:lang w:val="en-GB"/>
        </w:rPr>
        <w:t>, no.</w:t>
      </w:r>
      <w:r w:rsidRPr="00E116B6" w:rsidR="0000400E">
        <w:rPr>
          <w:lang w:val="en-GB"/>
        </w:rPr>
        <w:t> </w:t>
      </w:r>
      <w:r w:rsidRPr="00E116B6" w:rsidR="008350A4">
        <w:rPr>
          <w:lang w:val="en-GB"/>
        </w:rPr>
        <w:t>9297/02, § 33, 31 </w:t>
      </w:r>
      <w:r w:rsidRPr="00E116B6" w:rsidR="00697604">
        <w:rPr>
          <w:lang w:val="en-GB"/>
        </w:rPr>
        <w:t>July 2008</w:t>
      </w:r>
      <w:r w:rsidRPr="00E116B6" w:rsidR="00697604">
        <w:rPr>
          <w:snapToGrid w:val="0"/>
          <w:szCs w:val="24"/>
          <w:lang w:val="en-GB"/>
        </w:rPr>
        <w:t>).</w:t>
      </w:r>
      <w:r w:rsidRPr="00E116B6" w:rsidR="00222C98">
        <w:rPr>
          <w:snapToGrid w:val="0"/>
          <w:szCs w:val="24"/>
          <w:lang w:val="en-GB"/>
        </w:rPr>
        <w:t xml:space="preserve"> </w:t>
      </w:r>
      <w:r w:rsidRPr="00E116B6" w:rsidR="00505226">
        <w:rPr>
          <w:lang w:val="en-GB"/>
        </w:rPr>
        <w:t>On the other hand, t</w:t>
      </w:r>
      <w:r w:rsidRPr="00E116B6" w:rsidR="00442228">
        <w:rPr>
          <w:lang w:val="en-GB"/>
        </w:rPr>
        <w:t>he Court observes that as so</w:t>
      </w:r>
      <w:r w:rsidRPr="00E116B6" w:rsidR="006555F4">
        <w:rPr>
          <w:lang w:val="en-GB"/>
        </w:rPr>
        <w:t xml:space="preserve">on </w:t>
      </w:r>
      <w:r w:rsidRPr="00E116B6" w:rsidR="00442228">
        <w:rPr>
          <w:lang w:val="en-GB"/>
        </w:rPr>
        <w:t xml:space="preserve">as he </w:t>
      </w:r>
      <w:r w:rsidRPr="00E116B6" w:rsidR="009B1FE0">
        <w:rPr>
          <w:lang w:val="en-GB"/>
        </w:rPr>
        <w:t xml:space="preserve">had </w:t>
      </w:r>
      <w:r w:rsidRPr="00E116B6" w:rsidR="00442228">
        <w:rPr>
          <w:lang w:val="en-GB"/>
        </w:rPr>
        <w:t xml:space="preserve">a lawyer of his </w:t>
      </w:r>
      <w:r w:rsidRPr="00E116B6" w:rsidR="007D7E8C">
        <w:rPr>
          <w:lang w:val="en-GB"/>
        </w:rPr>
        <w:t xml:space="preserve">own </w:t>
      </w:r>
      <w:r w:rsidRPr="00E116B6" w:rsidR="00442228">
        <w:rPr>
          <w:lang w:val="en-GB"/>
        </w:rPr>
        <w:t>choice</w:t>
      </w:r>
      <w:r w:rsidRPr="00E116B6" w:rsidR="009B1FE0">
        <w:rPr>
          <w:lang w:val="en-GB"/>
        </w:rPr>
        <w:t>,</w:t>
      </w:r>
      <w:r w:rsidRPr="00E116B6" w:rsidR="00442228">
        <w:rPr>
          <w:lang w:val="en-GB"/>
        </w:rPr>
        <w:t xml:space="preserve"> </w:t>
      </w:r>
      <w:r w:rsidRPr="00E116B6" w:rsidR="006555F4">
        <w:rPr>
          <w:lang w:val="en-GB"/>
        </w:rPr>
        <w:t xml:space="preserve">on </w:t>
      </w:r>
      <w:r w:rsidRPr="00E116B6" w:rsidR="00442228">
        <w:rPr>
          <w:lang w:val="en-GB"/>
        </w:rPr>
        <w:t xml:space="preserve">4 June 2004, the first applicant immediately informed the </w:t>
      </w:r>
      <w:r w:rsidRPr="00E116B6" w:rsidR="006555F4">
        <w:rPr>
          <w:lang w:val="en-GB"/>
        </w:rPr>
        <w:t>relevant authorities of the ill</w:t>
      </w:r>
      <w:r w:rsidRPr="00E116B6" w:rsidR="006555F4">
        <w:rPr>
          <w:lang w:val="en-GB"/>
        </w:rPr>
        <w:noBreakHyphen/>
      </w:r>
      <w:r w:rsidRPr="00E116B6" w:rsidR="00442228">
        <w:rPr>
          <w:lang w:val="en-GB"/>
        </w:rPr>
        <w:t xml:space="preserve">treatment </w:t>
      </w:r>
      <w:r w:rsidRPr="00E116B6" w:rsidR="007D7E8C">
        <w:rPr>
          <w:lang w:val="en-GB"/>
        </w:rPr>
        <w:t xml:space="preserve">he had suffered </w:t>
      </w:r>
      <w:r w:rsidRPr="00E116B6" w:rsidR="006555F4">
        <w:rPr>
          <w:lang w:val="en-GB"/>
        </w:rPr>
        <w:t xml:space="preserve">on </w:t>
      </w:r>
      <w:r w:rsidRPr="00E116B6" w:rsidR="00442228">
        <w:rPr>
          <w:lang w:val="en-GB"/>
        </w:rPr>
        <w:t>13 May 2004. He then re</w:t>
      </w:r>
      <w:r w:rsidRPr="00E116B6" w:rsidR="007D7E8C">
        <w:rPr>
          <w:lang w:val="en-GB"/>
        </w:rPr>
        <w:t xml:space="preserve">peated </w:t>
      </w:r>
      <w:r w:rsidRPr="00E116B6" w:rsidR="00442228">
        <w:rPr>
          <w:lang w:val="en-GB"/>
        </w:rPr>
        <w:t xml:space="preserve">those complaints </w:t>
      </w:r>
      <w:r w:rsidRPr="00E116B6" w:rsidR="007D7E8C">
        <w:rPr>
          <w:lang w:val="en-GB"/>
        </w:rPr>
        <w:t xml:space="preserve">to </w:t>
      </w:r>
      <w:r w:rsidRPr="00E116B6" w:rsidR="00442228">
        <w:rPr>
          <w:lang w:val="en-GB"/>
        </w:rPr>
        <w:t>the prosecut</w:t>
      </w:r>
      <w:r w:rsidRPr="00E116B6" w:rsidR="009B1FE0">
        <w:rPr>
          <w:lang w:val="en-GB"/>
        </w:rPr>
        <w:t>i</w:t>
      </w:r>
      <w:r w:rsidRPr="00E116B6" w:rsidR="006555F4">
        <w:rPr>
          <w:lang w:val="en-GB"/>
        </w:rPr>
        <w:t xml:space="preserve">on </w:t>
      </w:r>
      <w:r w:rsidRPr="00E116B6" w:rsidR="00442228">
        <w:rPr>
          <w:lang w:val="en-GB"/>
        </w:rPr>
        <w:t xml:space="preserve">authority </w:t>
      </w:r>
      <w:r w:rsidRPr="00E116B6" w:rsidR="006555F4">
        <w:rPr>
          <w:lang w:val="en-GB"/>
        </w:rPr>
        <w:t xml:space="preserve">on </w:t>
      </w:r>
      <w:r w:rsidRPr="00E116B6" w:rsidR="00442228">
        <w:rPr>
          <w:lang w:val="en-GB"/>
        </w:rPr>
        <w:t>15 and 18</w:t>
      </w:r>
      <w:r w:rsidRPr="00E116B6" w:rsidR="00A05C4D">
        <w:rPr>
          <w:lang w:val="en-GB"/>
        </w:rPr>
        <w:t> </w:t>
      </w:r>
      <w:r w:rsidRPr="00E116B6" w:rsidR="00442228">
        <w:rPr>
          <w:lang w:val="en-GB"/>
        </w:rPr>
        <w:t xml:space="preserve">June, 7 September, </w:t>
      </w:r>
      <w:r w:rsidRPr="00E116B6" w:rsidR="006555F4">
        <w:rPr>
          <w:lang w:val="en-GB"/>
        </w:rPr>
        <w:t>and </w:t>
      </w:r>
      <w:r w:rsidRPr="00E116B6" w:rsidR="00442228">
        <w:rPr>
          <w:lang w:val="en-GB"/>
        </w:rPr>
        <w:t>8 and 21</w:t>
      </w:r>
      <w:r w:rsidRPr="00E116B6" w:rsidR="0046550C">
        <w:rPr>
          <w:lang w:val="en-GB"/>
        </w:rPr>
        <w:t> </w:t>
      </w:r>
      <w:r w:rsidRPr="00E116B6" w:rsidR="00442228">
        <w:rPr>
          <w:lang w:val="en-GB"/>
        </w:rPr>
        <w:t>October 2004</w:t>
      </w:r>
      <w:r w:rsidRPr="00E116B6" w:rsidR="00222C98">
        <w:rPr>
          <w:lang w:val="en-GB"/>
        </w:rPr>
        <w:t xml:space="preserve"> (see paragraphs </w:t>
      </w:r>
      <w:r w:rsidRPr="00E116B6" w:rsidR="00602719">
        <w:rPr>
          <w:lang w:val="en-GB"/>
        </w:rPr>
        <w:fldChar w:fldCharType="begin"/>
      </w:r>
      <w:r w:rsidRPr="00E116B6" w:rsidR="00602719">
        <w:rPr>
          <w:lang w:val="en-GB"/>
        </w:rPr>
        <w:instrText xml:space="preserve"> REF complaintdate \h </w:instrText>
      </w:r>
      <w:r w:rsidRPr="00E116B6" w:rsidR="00602719">
        <w:rPr>
          <w:lang w:val="en-GB"/>
        </w:rPr>
      </w:r>
      <w:r w:rsidRPr="00E116B6" w:rsidR="00602719">
        <w:rPr>
          <w:lang w:val="en-GB"/>
        </w:rPr>
        <w:fldChar w:fldCharType="separate"/>
      </w:r>
      <w:r w:rsidRPr="00E116B6" w:rsidR="00E116B6">
        <w:rPr>
          <w:noProof/>
          <w:lang w:val="en-GB"/>
        </w:rPr>
        <w:t>23</w:t>
      </w:r>
      <w:r w:rsidRPr="00E116B6" w:rsidR="00602719">
        <w:rPr>
          <w:lang w:val="en-GB"/>
        </w:rPr>
        <w:fldChar w:fldCharType="end"/>
      </w:r>
      <w:r w:rsidRPr="00E116B6" w:rsidR="00602719">
        <w:rPr>
          <w:lang w:val="en-GB"/>
        </w:rPr>
        <w:t xml:space="preserve">, </w:t>
      </w:r>
      <w:r w:rsidRPr="00E116B6" w:rsidR="00602719">
        <w:rPr>
          <w:lang w:val="en-GB"/>
        </w:rPr>
        <w:fldChar w:fldCharType="begin"/>
      </w:r>
      <w:r w:rsidRPr="00E116B6" w:rsidR="00602719">
        <w:rPr>
          <w:lang w:val="en-GB"/>
        </w:rPr>
        <w:instrText xml:space="preserve"> REF complaintdate1 \h </w:instrText>
      </w:r>
      <w:r w:rsidRPr="00E116B6" w:rsidR="00602719">
        <w:rPr>
          <w:lang w:val="en-GB"/>
        </w:rPr>
      </w:r>
      <w:r w:rsidRPr="00E116B6" w:rsidR="00602719">
        <w:rPr>
          <w:lang w:val="en-GB"/>
        </w:rPr>
        <w:fldChar w:fldCharType="separate"/>
      </w:r>
      <w:r w:rsidRPr="00E116B6" w:rsidR="00E116B6">
        <w:rPr>
          <w:noProof/>
          <w:lang w:val="en-GB"/>
        </w:rPr>
        <w:t>25</w:t>
      </w:r>
      <w:r w:rsidRPr="00E116B6" w:rsidR="00602719">
        <w:rPr>
          <w:lang w:val="en-GB"/>
        </w:rPr>
        <w:fldChar w:fldCharType="end"/>
      </w:r>
      <w:r w:rsidRPr="00E116B6" w:rsidR="00A05C4D">
        <w:rPr>
          <w:lang w:val="en-GB"/>
        </w:rPr>
        <w:noBreakHyphen/>
      </w:r>
      <w:r w:rsidRPr="00E116B6" w:rsidR="00602719">
        <w:rPr>
          <w:lang w:val="en-GB"/>
        </w:rPr>
        <w:fldChar w:fldCharType="begin"/>
      </w:r>
      <w:r w:rsidRPr="00E116B6" w:rsidR="00602719">
        <w:rPr>
          <w:lang w:val="en-GB"/>
        </w:rPr>
        <w:instrText xml:space="preserve"> REF complaintdate2 \h </w:instrText>
      </w:r>
      <w:r w:rsidRPr="00E116B6" w:rsidR="00602719">
        <w:rPr>
          <w:lang w:val="en-GB"/>
        </w:rPr>
      </w:r>
      <w:r w:rsidRPr="00E116B6" w:rsidR="00602719">
        <w:rPr>
          <w:lang w:val="en-GB"/>
        </w:rPr>
        <w:fldChar w:fldCharType="separate"/>
      </w:r>
      <w:r w:rsidRPr="00E116B6" w:rsidR="00E116B6">
        <w:rPr>
          <w:noProof/>
          <w:lang w:val="en-GB"/>
        </w:rPr>
        <w:t>26</w:t>
      </w:r>
      <w:r w:rsidRPr="00E116B6" w:rsidR="00602719">
        <w:rPr>
          <w:lang w:val="en-GB"/>
        </w:rPr>
        <w:fldChar w:fldCharType="end"/>
      </w:r>
      <w:r w:rsidRPr="00E116B6" w:rsidR="007161B2">
        <w:rPr>
          <w:lang w:val="en-GB"/>
        </w:rPr>
        <w:t xml:space="preserve">, </w:t>
      </w:r>
      <w:r w:rsidRPr="00E116B6" w:rsidR="00602719">
        <w:rPr>
          <w:lang w:val="en-GB"/>
        </w:rPr>
        <w:fldChar w:fldCharType="begin"/>
      </w:r>
      <w:r w:rsidRPr="00E116B6" w:rsidR="00602719">
        <w:rPr>
          <w:lang w:val="en-GB"/>
        </w:rPr>
        <w:instrText xml:space="preserve"> REF complaintdate3 \h </w:instrText>
      </w:r>
      <w:r w:rsidRPr="00E116B6" w:rsidR="00602719">
        <w:rPr>
          <w:lang w:val="en-GB"/>
        </w:rPr>
      </w:r>
      <w:r w:rsidRPr="00E116B6" w:rsidR="00602719">
        <w:rPr>
          <w:lang w:val="en-GB"/>
        </w:rPr>
        <w:fldChar w:fldCharType="separate"/>
      </w:r>
      <w:r w:rsidRPr="00E116B6" w:rsidR="00E116B6">
        <w:rPr>
          <w:noProof/>
          <w:lang w:val="en-GB"/>
        </w:rPr>
        <w:t>42</w:t>
      </w:r>
      <w:r w:rsidRPr="00E116B6" w:rsidR="00602719">
        <w:rPr>
          <w:lang w:val="en-GB"/>
        </w:rPr>
        <w:fldChar w:fldCharType="end"/>
      </w:r>
      <w:r w:rsidRPr="00E116B6" w:rsidR="007161B2">
        <w:rPr>
          <w:lang w:val="en-GB"/>
        </w:rPr>
        <w:t xml:space="preserve">, </w:t>
      </w:r>
      <w:r w:rsidRPr="00E116B6" w:rsidR="00602719">
        <w:rPr>
          <w:lang w:val="en-GB"/>
        </w:rPr>
        <w:fldChar w:fldCharType="begin"/>
      </w:r>
      <w:r w:rsidRPr="00E116B6" w:rsidR="00602719">
        <w:rPr>
          <w:lang w:val="en-GB"/>
        </w:rPr>
        <w:instrText xml:space="preserve"> REF criminveststart \h </w:instrText>
      </w:r>
      <w:r w:rsidRPr="00E116B6" w:rsidR="00602719">
        <w:rPr>
          <w:lang w:val="en-GB"/>
        </w:rPr>
      </w:r>
      <w:r w:rsidRPr="00E116B6" w:rsidR="00602719">
        <w:rPr>
          <w:lang w:val="en-GB"/>
        </w:rPr>
        <w:fldChar w:fldCharType="separate"/>
      </w:r>
      <w:r w:rsidRPr="00E116B6" w:rsidR="00E116B6">
        <w:rPr>
          <w:noProof/>
          <w:lang w:val="en-GB"/>
        </w:rPr>
        <w:t>46</w:t>
      </w:r>
      <w:r w:rsidRPr="00E116B6" w:rsidR="00602719">
        <w:rPr>
          <w:lang w:val="en-GB"/>
        </w:rPr>
        <w:fldChar w:fldCharType="end"/>
      </w:r>
      <w:r w:rsidRPr="00E116B6" w:rsidR="007161B2">
        <w:rPr>
          <w:lang w:val="en-GB"/>
        </w:rPr>
        <w:t xml:space="preserve"> and </w:t>
      </w:r>
      <w:r w:rsidRPr="00E116B6" w:rsidR="00602719">
        <w:rPr>
          <w:lang w:val="en-GB"/>
        </w:rPr>
        <w:fldChar w:fldCharType="begin"/>
      </w:r>
      <w:r w:rsidRPr="00E116B6" w:rsidR="00602719">
        <w:rPr>
          <w:lang w:val="en-GB"/>
        </w:rPr>
        <w:instrText xml:space="preserve"> REF complaintdate4 \h </w:instrText>
      </w:r>
      <w:r w:rsidRPr="00E116B6" w:rsidR="00602719">
        <w:rPr>
          <w:lang w:val="en-GB"/>
        </w:rPr>
      </w:r>
      <w:r w:rsidRPr="00E116B6" w:rsidR="00602719">
        <w:rPr>
          <w:lang w:val="en-GB"/>
        </w:rPr>
        <w:fldChar w:fldCharType="separate"/>
      </w:r>
      <w:r w:rsidRPr="00E116B6" w:rsidR="00E116B6">
        <w:rPr>
          <w:noProof/>
          <w:lang w:val="en-GB"/>
        </w:rPr>
        <w:t>48</w:t>
      </w:r>
      <w:r w:rsidRPr="00E116B6" w:rsidR="00602719">
        <w:rPr>
          <w:lang w:val="en-GB"/>
        </w:rPr>
        <w:fldChar w:fldCharType="end"/>
      </w:r>
      <w:r w:rsidRPr="00E116B6" w:rsidR="007161B2">
        <w:rPr>
          <w:lang w:val="en-GB"/>
        </w:rPr>
        <w:t xml:space="preserve"> </w:t>
      </w:r>
      <w:r w:rsidRPr="00E116B6" w:rsidR="00222C98">
        <w:rPr>
          <w:lang w:val="en-GB"/>
        </w:rPr>
        <w:t>above)</w:t>
      </w:r>
      <w:r w:rsidRPr="00E116B6" w:rsidR="00442228">
        <w:rPr>
          <w:lang w:val="en-GB"/>
        </w:rPr>
        <w:t xml:space="preserve">. In all those complaints the first applicant remained </w:t>
      </w:r>
      <w:r w:rsidRPr="00E116B6" w:rsidR="00505226">
        <w:rPr>
          <w:lang w:val="en-GB"/>
        </w:rPr>
        <w:t>particularly</w:t>
      </w:r>
      <w:r w:rsidRPr="00E116B6" w:rsidR="00442228">
        <w:rPr>
          <w:lang w:val="en-GB"/>
        </w:rPr>
        <w:t xml:space="preserve"> con</w:t>
      </w:r>
      <w:r w:rsidRPr="00E116B6" w:rsidR="007D7E8C">
        <w:rPr>
          <w:lang w:val="en-GB"/>
        </w:rPr>
        <w:t xml:space="preserve">sistent </w:t>
      </w:r>
      <w:r w:rsidRPr="00E116B6" w:rsidR="00442228">
        <w:rPr>
          <w:lang w:val="en-GB"/>
        </w:rPr>
        <w:t xml:space="preserve">in describing the exact factual circumstances surrounding the incident. </w:t>
      </w:r>
      <w:r w:rsidRPr="00E116B6" w:rsidR="00263656">
        <w:rPr>
          <w:lang w:val="en-GB"/>
        </w:rPr>
        <w:t>On each occasi</w:t>
      </w:r>
      <w:r w:rsidRPr="00E116B6" w:rsidR="006555F4">
        <w:rPr>
          <w:lang w:val="en-GB"/>
        </w:rPr>
        <w:t xml:space="preserve">on </w:t>
      </w:r>
      <w:r w:rsidRPr="00E116B6" w:rsidR="00263656">
        <w:rPr>
          <w:lang w:val="en-GB"/>
        </w:rPr>
        <w:t>h</w:t>
      </w:r>
      <w:r w:rsidRPr="00E116B6" w:rsidR="00442228">
        <w:rPr>
          <w:lang w:val="en-GB"/>
        </w:rPr>
        <w:t>e name</w:t>
      </w:r>
      <w:r w:rsidRPr="00E116B6" w:rsidR="009B1FE0">
        <w:rPr>
          <w:lang w:val="en-GB"/>
        </w:rPr>
        <w:t>d</w:t>
      </w:r>
      <w:r w:rsidRPr="00E116B6" w:rsidR="00442228">
        <w:rPr>
          <w:lang w:val="en-GB"/>
        </w:rPr>
        <w:t xml:space="preserve"> the police officers involved in the ill</w:t>
      </w:r>
      <w:r w:rsidRPr="00E116B6" w:rsidR="00D67572">
        <w:rPr>
          <w:lang w:val="en-GB"/>
        </w:rPr>
        <w:noBreakHyphen/>
      </w:r>
      <w:r w:rsidRPr="00E116B6" w:rsidR="00442228">
        <w:rPr>
          <w:lang w:val="en-GB"/>
        </w:rPr>
        <w:t xml:space="preserve">treatment, including </w:t>
      </w:r>
      <w:r w:rsidRPr="00E116B6" w:rsidR="009D7AC5">
        <w:rPr>
          <w:lang w:val="en-GB"/>
        </w:rPr>
        <w:t>K.</w:t>
      </w:r>
      <w:r w:rsidRPr="00E116B6" w:rsidR="00442228">
        <w:rPr>
          <w:lang w:val="en-GB"/>
        </w:rPr>
        <w:t xml:space="preserve">Ch., </w:t>
      </w:r>
      <w:r w:rsidRPr="00E116B6" w:rsidR="009D7AC5">
        <w:rPr>
          <w:lang w:val="en-GB"/>
        </w:rPr>
        <w:t>D.</w:t>
      </w:r>
      <w:r w:rsidRPr="00E116B6" w:rsidR="00442228">
        <w:rPr>
          <w:lang w:val="en-GB"/>
        </w:rPr>
        <w:t xml:space="preserve">E., and </w:t>
      </w:r>
      <w:r w:rsidRPr="00E116B6" w:rsidR="009D7AC5">
        <w:rPr>
          <w:lang w:val="en-GB"/>
        </w:rPr>
        <w:t>D.</w:t>
      </w:r>
      <w:r w:rsidRPr="00E116B6" w:rsidR="00442228">
        <w:rPr>
          <w:lang w:val="en-GB"/>
        </w:rPr>
        <w:t>K</w:t>
      </w:r>
      <w:r w:rsidRPr="00E116B6" w:rsidR="007D7E8C">
        <w:rPr>
          <w:lang w:val="en-GB"/>
        </w:rPr>
        <w:t>.</w:t>
      </w:r>
      <w:r w:rsidRPr="00E116B6" w:rsidR="00442228">
        <w:rPr>
          <w:lang w:val="en-GB"/>
        </w:rPr>
        <w:t xml:space="preserve">, </w:t>
      </w:r>
      <w:r w:rsidRPr="00E116B6" w:rsidR="009B1FE0">
        <w:rPr>
          <w:lang w:val="en-GB"/>
        </w:rPr>
        <w:t xml:space="preserve">and </w:t>
      </w:r>
      <w:r w:rsidRPr="00E116B6" w:rsidR="00442228">
        <w:rPr>
          <w:lang w:val="en-GB"/>
        </w:rPr>
        <w:t>describe</w:t>
      </w:r>
      <w:r w:rsidRPr="00E116B6" w:rsidR="009B1FE0">
        <w:rPr>
          <w:lang w:val="en-GB"/>
        </w:rPr>
        <w:t>d</w:t>
      </w:r>
      <w:r w:rsidRPr="00E116B6" w:rsidR="00442228">
        <w:rPr>
          <w:lang w:val="en-GB"/>
        </w:rPr>
        <w:t xml:space="preserve"> the exact form of </w:t>
      </w:r>
      <w:r w:rsidRPr="00E116B6" w:rsidR="00596D99">
        <w:rPr>
          <w:lang w:val="en-GB"/>
        </w:rPr>
        <w:t xml:space="preserve">physical </w:t>
      </w:r>
      <w:r w:rsidRPr="00E116B6" w:rsidR="00442228">
        <w:rPr>
          <w:lang w:val="en-GB"/>
        </w:rPr>
        <w:t>ill</w:t>
      </w:r>
      <w:r w:rsidRPr="00E116B6" w:rsidR="00D67572">
        <w:rPr>
          <w:lang w:val="en-GB"/>
        </w:rPr>
        <w:noBreakHyphen/>
      </w:r>
      <w:r w:rsidRPr="00E116B6" w:rsidR="00442228">
        <w:rPr>
          <w:lang w:val="en-GB"/>
        </w:rPr>
        <w:t>treatment –</w:t>
      </w:r>
      <w:r w:rsidRPr="00E116B6" w:rsidR="007D7E8C">
        <w:rPr>
          <w:lang w:val="en-GB"/>
        </w:rPr>
        <w:t xml:space="preserve"> </w:t>
      </w:r>
      <w:r w:rsidRPr="00E116B6" w:rsidR="00596D99">
        <w:rPr>
          <w:lang w:val="en-GB"/>
        </w:rPr>
        <w:t>electric shocks</w:t>
      </w:r>
      <w:r w:rsidRPr="00E116B6" w:rsidR="007D7E8C">
        <w:rPr>
          <w:lang w:val="en-GB"/>
        </w:rPr>
        <w:t xml:space="preserve"> and </w:t>
      </w:r>
      <w:r w:rsidRPr="00E116B6" w:rsidR="00596D99">
        <w:rPr>
          <w:lang w:val="en-GB"/>
        </w:rPr>
        <w:t>beat</w:t>
      </w:r>
      <w:r w:rsidRPr="00E116B6" w:rsidR="007D7E8C">
        <w:rPr>
          <w:lang w:val="en-GB"/>
        </w:rPr>
        <w:t xml:space="preserve">ings </w:t>
      </w:r>
      <w:r w:rsidRPr="00E116B6" w:rsidR="006555F4">
        <w:rPr>
          <w:lang w:val="en-GB"/>
        </w:rPr>
        <w:t xml:space="preserve">on </w:t>
      </w:r>
      <w:r w:rsidRPr="00E116B6" w:rsidR="00596D99">
        <w:rPr>
          <w:lang w:val="en-GB"/>
        </w:rPr>
        <w:t xml:space="preserve">the neck with </w:t>
      </w:r>
      <w:r w:rsidRPr="00E116B6" w:rsidR="007D7E8C">
        <w:rPr>
          <w:lang w:val="en-GB"/>
        </w:rPr>
        <w:t xml:space="preserve">a </w:t>
      </w:r>
      <w:r w:rsidRPr="00E116B6" w:rsidR="00596D99">
        <w:rPr>
          <w:lang w:val="en-GB"/>
        </w:rPr>
        <w:t>square ir</w:t>
      </w:r>
      <w:r w:rsidRPr="00E116B6" w:rsidR="006555F4">
        <w:rPr>
          <w:lang w:val="en-GB"/>
        </w:rPr>
        <w:t xml:space="preserve">on </w:t>
      </w:r>
      <w:r w:rsidRPr="00E116B6" w:rsidR="00596D99">
        <w:rPr>
          <w:lang w:val="en-GB"/>
        </w:rPr>
        <w:t xml:space="preserve">padlock. In addition, he described </w:t>
      </w:r>
      <w:r w:rsidRPr="00E116B6" w:rsidR="00263656">
        <w:rPr>
          <w:lang w:val="en-GB"/>
        </w:rPr>
        <w:t xml:space="preserve">consistently </w:t>
      </w:r>
      <w:r w:rsidRPr="00E116B6" w:rsidR="00596D99">
        <w:rPr>
          <w:lang w:val="en-GB"/>
        </w:rPr>
        <w:t xml:space="preserve">how the police officers </w:t>
      </w:r>
      <w:r w:rsidRPr="00E116B6" w:rsidR="007054A7">
        <w:rPr>
          <w:lang w:val="en-GB"/>
        </w:rPr>
        <w:t xml:space="preserve">had </w:t>
      </w:r>
      <w:r w:rsidRPr="00E116B6" w:rsidR="00596D99">
        <w:rPr>
          <w:lang w:val="en-GB"/>
        </w:rPr>
        <w:t xml:space="preserve">threatened his wife </w:t>
      </w:r>
      <w:r w:rsidRPr="00E116B6" w:rsidR="007054A7">
        <w:rPr>
          <w:lang w:val="en-GB"/>
        </w:rPr>
        <w:t xml:space="preserve">with death </w:t>
      </w:r>
      <w:r w:rsidRPr="00E116B6" w:rsidR="00596D99">
        <w:rPr>
          <w:lang w:val="en-GB"/>
        </w:rPr>
        <w:t xml:space="preserve">and </w:t>
      </w:r>
      <w:r w:rsidRPr="00E116B6" w:rsidR="007054A7">
        <w:rPr>
          <w:lang w:val="en-GB"/>
        </w:rPr>
        <w:t xml:space="preserve">had </w:t>
      </w:r>
      <w:r w:rsidRPr="00E116B6" w:rsidR="00596D99">
        <w:rPr>
          <w:lang w:val="en-GB"/>
        </w:rPr>
        <w:t>forced him into signing the confessi</w:t>
      </w:r>
      <w:r w:rsidRPr="00E116B6" w:rsidR="006555F4">
        <w:rPr>
          <w:lang w:val="en-GB"/>
        </w:rPr>
        <w:t xml:space="preserve">on </w:t>
      </w:r>
      <w:r w:rsidRPr="00E116B6" w:rsidR="007D7E8C">
        <w:rPr>
          <w:lang w:val="en-GB"/>
        </w:rPr>
        <w:t>at</w:t>
      </w:r>
      <w:r w:rsidRPr="00E116B6" w:rsidR="00596D99">
        <w:rPr>
          <w:lang w:val="en-GB"/>
        </w:rPr>
        <w:t xml:space="preserve"> gunpoint.</w:t>
      </w:r>
    </w:p>
    <w:p w:rsidRPr="00E116B6" w:rsidR="00360F75" w:rsidP="00E116B6" w:rsidRDefault="00596D99">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106</w:t>
      </w:r>
      <w:r w:rsidRPr="00E116B6">
        <w:rPr>
          <w:lang w:val="en-GB"/>
        </w:rPr>
        <w:fldChar w:fldCharType="end"/>
      </w:r>
      <w:r w:rsidRPr="00E116B6">
        <w:rPr>
          <w:lang w:val="en-GB"/>
        </w:rPr>
        <w:t>.  The Court</w:t>
      </w:r>
      <w:r w:rsidRPr="00E116B6" w:rsidR="006412FF">
        <w:rPr>
          <w:lang w:val="en-GB"/>
        </w:rPr>
        <w:t xml:space="preserve"> </w:t>
      </w:r>
      <w:r w:rsidRPr="00E116B6">
        <w:rPr>
          <w:lang w:val="en-GB"/>
        </w:rPr>
        <w:t xml:space="preserve">further observes that </w:t>
      </w:r>
      <w:r w:rsidRPr="00E116B6" w:rsidR="00505226">
        <w:rPr>
          <w:lang w:val="en-GB"/>
        </w:rPr>
        <w:t>at the very first opportunity</w:t>
      </w:r>
      <w:r w:rsidRPr="00E116B6" w:rsidR="007054A7">
        <w:rPr>
          <w:lang w:val="en-GB"/>
        </w:rPr>
        <w:t>,</w:t>
      </w:r>
      <w:r w:rsidRPr="00E116B6" w:rsidR="00505226">
        <w:rPr>
          <w:lang w:val="en-GB"/>
        </w:rPr>
        <w:t xml:space="preserve"> </w:t>
      </w:r>
      <w:r w:rsidRPr="00E116B6" w:rsidR="006555F4">
        <w:rPr>
          <w:lang w:val="en-GB"/>
        </w:rPr>
        <w:t xml:space="preserve">on </w:t>
      </w:r>
      <w:r w:rsidRPr="00E116B6" w:rsidR="00505226">
        <w:rPr>
          <w:lang w:val="en-GB"/>
        </w:rPr>
        <w:t>4</w:t>
      </w:r>
      <w:r w:rsidRPr="00E116B6" w:rsidR="00910A60">
        <w:rPr>
          <w:lang w:val="en-GB"/>
        </w:rPr>
        <w:t> </w:t>
      </w:r>
      <w:r w:rsidRPr="00E116B6" w:rsidR="00505226">
        <w:rPr>
          <w:lang w:val="en-GB"/>
        </w:rPr>
        <w:t>June 2004</w:t>
      </w:r>
      <w:r w:rsidRPr="00E116B6" w:rsidR="007054A7">
        <w:rPr>
          <w:lang w:val="en-GB"/>
        </w:rPr>
        <w:t>,</w:t>
      </w:r>
      <w:r w:rsidRPr="00E116B6" w:rsidR="007D7E8C">
        <w:rPr>
          <w:lang w:val="en-GB"/>
        </w:rPr>
        <w:t xml:space="preserve"> the lawyer he had chosen requested </w:t>
      </w:r>
      <w:r w:rsidRPr="00E116B6" w:rsidR="00442228">
        <w:rPr>
          <w:lang w:val="en-GB"/>
        </w:rPr>
        <w:t>a medical examinati</w:t>
      </w:r>
      <w:r w:rsidRPr="00E116B6" w:rsidR="006555F4">
        <w:rPr>
          <w:lang w:val="en-GB"/>
        </w:rPr>
        <w:t xml:space="preserve">on </w:t>
      </w:r>
      <w:r w:rsidRPr="00E116B6" w:rsidR="00442228">
        <w:rPr>
          <w:lang w:val="en-GB"/>
        </w:rPr>
        <w:t xml:space="preserve">for the purposes of </w:t>
      </w:r>
      <w:r w:rsidRPr="00E116B6" w:rsidR="007054A7">
        <w:rPr>
          <w:lang w:val="en-GB"/>
        </w:rPr>
        <w:t xml:space="preserve">recording </w:t>
      </w:r>
      <w:r w:rsidRPr="00E116B6" w:rsidR="00442228">
        <w:rPr>
          <w:lang w:val="en-GB"/>
        </w:rPr>
        <w:t xml:space="preserve">the marks of ill-treatment </w:t>
      </w:r>
      <w:r w:rsidRPr="00E116B6" w:rsidR="006555F4">
        <w:rPr>
          <w:lang w:val="en-GB"/>
        </w:rPr>
        <w:t xml:space="preserve">on </w:t>
      </w:r>
      <w:r w:rsidRPr="00E116B6">
        <w:rPr>
          <w:lang w:val="en-GB"/>
        </w:rPr>
        <w:t>the first applicant</w:t>
      </w:r>
      <w:r w:rsidRPr="00E116B6" w:rsidR="00505226">
        <w:rPr>
          <w:lang w:val="en-GB"/>
        </w:rPr>
        <w:t>.</w:t>
      </w:r>
      <w:r w:rsidRPr="00E116B6">
        <w:rPr>
          <w:lang w:val="en-GB"/>
        </w:rPr>
        <w:t xml:space="preserve"> </w:t>
      </w:r>
      <w:r w:rsidRPr="00E116B6" w:rsidR="00505226">
        <w:rPr>
          <w:lang w:val="en-GB"/>
        </w:rPr>
        <w:t>D</w:t>
      </w:r>
      <w:r w:rsidRPr="00E116B6" w:rsidR="00442228">
        <w:rPr>
          <w:lang w:val="en-GB"/>
        </w:rPr>
        <w:t xml:space="preserve">espite that early request, the authorities </w:t>
      </w:r>
      <w:r w:rsidRPr="00E116B6" w:rsidR="007D7E8C">
        <w:rPr>
          <w:lang w:val="en-GB"/>
        </w:rPr>
        <w:t xml:space="preserve">did not </w:t>
      </w:r>
      <w:r w:rsidRPr="00E116B6" w:rsidR="00830DA3">
        <w:rPr>
          <w:lang w:val="en-GB"/>
        </w:rPr>
        <w:t>arrange</w:t>
      </w:r>
      <w:r w:rsidRPr="00E116B6" w:rsidR="00442228">
        <w:rPr>
          <w:lang w:val="en-GB"/>
        </w:rPr>
        <w:t xml:space="preserve"> the examinati</w:t>
      </w:r>
      <w:r w:rsidRPr="00E116B6" w:rsidR="006555F4">
        <w:rPr>
          <w:lang w:val="en-GB"/>
        </w:rPr>
        <w:t xml:space="preserve">on </w:t>
      </w:r>
      <w:r w:rsidRPr="00E116B6" w:rsidR="007D7E8C">
        <w:rPr>
          <w:lang w:val="en-GB"/>
        </w:rPr>
        <w:t xml:space="preserve">until </w:t>
      </w:r>
      <w:r w:rsidRPr="00E116B6" w:rsidR="00442228">
        <w:rPr>
          <w:lang w:val="en-GB"/>
        </w:rPr>
        <w:t xml:space="preserve">three months </w:t>
      </w:r>
      <w:r w:rsidRPr="00E116B6" w:rsidR="007D7E8C">
        <w:rPr>
          <w:lang w:val="en-GB"/>
        </w:rPr>
        <w:t>had gone by</w:t>
      </w:r>
      <w:r w:rsidRPr="00E116B6" w:rsidR="00222C98">
        <w:rPr>
          <w:lang w:val="en-GB"/>
        </w:rPr>
        <w:t xml:space="preserve"> (see paragraph </w:t>
      </w:r>
      <w:r w:rsidRPr="00E116B6" w:rsidR="007161B2">
        <w:rPr>
          <w:lang w:val="en-GB"/>
        </w:rPr>
        <w:fldChar w:fldCharType="begin"/>
      </w:r>
      <w:r w:rsidRPr="00E116B6" w:rsidR="007161B2">
        <w:rPr>
          <w:lang w:val="en-GB"/>
        </w:rPr>
        <w:instrText xml:space="preserve"> REF medreport1 \h </w:instrText>
      </w:r>
      <w:r w:rsidRPr="00E116B6" w:rsidR="007161B2">
        <w:rPr>
          <w:lang w:val="en-GB"/>
        </w:rPr>
      </w:r>
      <w:r w:rsidRPr="00E116B6" w:rsidR="007161B2">
        <w:rPr>
          <w:lang w:val="en-GB"/>
        </w:rPr>
        <w:fldChar w:fldCharType="separate"/>
      </w:r>
      <w:r w:rsidRPr="00E116B6" w:rsidR="00E116B6">
        <w:rPr>
          <w:noProof/>
          <w:lang w:val="en-GB"/>
        </w:rPr>
        <w:t>35</w:t>
      </w:r>
      <w:r w:rsidRPr="00E116B6" w:rsidR="007161B2">
        <w:rPr>
          <w:lang w:val="en-GB"/>
        </w:rPr>
        <w:fldChar w:fldCharType="end"/>
      </w:r>
      <w:r w:rsidRPr="00E116B6" w:rsidR="007161B2">
        <w:rPr>
          <w:lang w:val="en-GB"/>
        </w:rPr>
        <w:t xml:space="preserve"> </w:t>
      </w:r>
      <w:r w:rsidRPr="00E116B6" w:rsidR="00222C98">
        <w:rPr>
          <w:lang w:val="en-GB"/>
        </w:rPr>
        <w:t>above)</w:t>
      </w:r>
      <w:r w:rsidRPr="00E116B6" w:rsidR="00442228">
        <w:rPr>
          <w:lang w:val="en-GB"/>
        </w:rPr>
        <w:t>.</w:t>
      </w:r>
      <w:r w:rsidRPr="00E116B6" w:rsidR="00360F75">
        <w:rPr>
          <w:lang w:val="en-GB"/>
        </w:rPr>
        <w:t xml:space="preserve"> The Government did not provide an explanati</w:t>
      </w:r>
      <w:r w:rsidRPr="00E116B6" w:rsidR="006555F4">
        <w:rPr>
          <w:lang w:val="en-GB"/>
        </w:rPr>
        <w:t xml:space="preserve">on </w:t>
      </w:r>
      <w:r w:rsidRPr="00E116B6" w:rsidR="007054A7">
        <w:rPr>
          <w:lang w:val="en-GB"/>
        </w:rPr>
        <w:t xml:space="preserve">for </w:t>
      </w:r>
      <w:r w:rsidRPr="00E116B6" w:rsidR="00360F75">
        <w:rPr>
          <w:lang w:val="en-GB"/>
        </w:rPr>
        <w:t xml:space="preserve">why it </w:t>
      </w:r>
      <w:r w:rsidRPr="00E116B6" w:rsidR="00222C98">
        <w:rPr>
          <w:lang w:val="en-GB"/>
        </w:rPr>
        <w:t>t</w:t>
      </w:r>
      <w:r w:rsidRPr="00E116B6" w:rsidR="007D7E8C">
        <w:rPr>
          <w:lang w:val="en-GB"/>
        </w:rPr>
        <w:t xml:space="preserve">ook </w:t>
      </w:r>
      <w:r w:rsidRPr="00E116B6" w:rsidR="00360F75">
        <w:rPr>
          <w:lang w:val="en-GB"/>
        </w:rPr>
        <w:t xml:space="preserve">the relevant State expert so </w:t>
      </w:r>
      <w:r w:rsidRPr="00E116B6" w:rsidR="00462D2C">
        <w:rPr>
          <w:lang w:val="en-GB"/>
        </w:rPr>
        <w:t xml:space="preserve">long to </w:t>
      </w:r>
      <w:r w:rsidRPr="00E116B6" w:rsidR="00360F75">
        <w:rPr>
          <w:lang w:val="en-GB"/>
        </w:rPr>
        <w:t>conduct the examinati</w:t>
      </w:r>
      <w:r w:rsidRPr="00E116B6" w:rsidR="006555F4">
        <w:rPr>
          <w:lang w:val="en-GB"/>
        </w:rPr>
        <w:t xml:space="preserve">on </w:t>
      </w:r>
      <w:r w:rsidRPr="00E116B6" w:rsidR="00830DA3">
        <w:rPr>
          <w:lang w:val="en-GB"/>
        </w:rPr>
        <w:t>and</w:t>
      </w:r>
      <w:r w:rsidRPr="00E116B6" w:rsidR="00462D2C">
        <w:rPr>
          <w:lang w:val="en-GB"/>
        </w:rPr>
        <w:t xml:space="preserve"> why </w:t>
      </w:r>
      <w:r w:rsidRPr="00E116B6" w:rsidR="007D7E8C">
        <w:rPr>
          <w:lang w:val="en-GB"/>
        </w:rPr>
        <w:t xml:space="preserve">it </w:t>
      </w:r>
      <w:r w:rsidRPr="00E116B6" w:rsidR="00222C98">
        <w:rPr>
          <w:lang w:val="en-GB"/>
        </w:rPr>
        <w:t xml:space="preserve">eventually </w:t>
      </w:r>
      <w:r w:rsidRPr="00E116B6" w:rsidR="00830DA3">
        <w:rPr>
          <w:lang w:val="en-GB"/>
        </w:rPr>
        <w:t>turned out to be</w:t>
      </w:r>
      <w:r w:rsidRPr="00E116B6" w:rsidR="00462D2C">
        <w:rPr>
          <w:lang w:val="en-GB"/>
        </w:rPr>
        <w:t xml:space="preserve"> superficial. </w:t>
      </w:r>
      <w:r w:rsidRPr="00E116B6" w:rsidR="00F42A86">
        <w:rPr>
          <w:lang w:val="en-GB"/>
        </w:rPr>
        <w:t>In particular</w:t>
      </w:r>
      <w:r w:rsidRPr="00E116B6" w:rsidR="00462D2C">
        <w:rPr>
          <w:lang w:val="en-GB"/>
        </w:rPr>
        <w:t xml:space="preserve">, the Court observes that the State expert did not even take the trouble to </w:t>
      </w:r>
      <w:r w:rsidRPr="00E116B6" w:rsidR="00F42A86">
        <w:rPr>
          <w:lang w:val="en-GB"/>
        </w:rPr>
        <w:t xml:space="preserve">visit </w:t>
      </w:r>
      <w:r w:rsidRPr="00E116B6" w:rsidR="00462D2C">
        <w:rPr>
          <w:lang w:val="en-GB"/>
        </w:rPr>
        <w:t xml:space="preserve">the first applicant </w:t>
      </w:r>
      <w:r w:rsidRPr="00E116B6" w:rsidR="00F42A86">
        <w:rPr>
          <w:lang w:val="en-GB"/>
        </w:rPr>
        <w:t xml:space="preserve">and examine him </w:t>
      </w:r>
      <w:r w:rsidRPr="00E116B6" w:rsidR="00462D2C">
        <w:rPr>
          <w:lang w:val="en-GB"/>
        </w:rPr>
        <w:t>in pers</w:t>
      </w:r>
      <w:r w:rsidRPr="00E116B6" w:rsidR="006555F4">
        <w:rPr>
          <w:lang w:val="en-GB"/>
        </w:rPr>
        <w:t xml:space="preserve">on </w:t>
      </w:r>
      <w:r w:rsidRPr="00E116B6" w:rsidR="007054A7">
        <w:rPr>
          <w:lang w:val="en-GB"/>
        </w:rPr>
        <w:t xml:space="preserve">but </w:t>
      </w:r>
      <w:r w:rsidRPr="00E116B6" w:rsidR="00462D2C">
        <w:rPr>
          <w:lang w:val="en-GB"/>
        </w:rPr>
        <w:t>limited his scrutiny to viewing two X-ray</w:t>
      </w:r>
      <w:r w:rsidRPr="00E116B6" w:rsidR="002E009C">
        <w:rPr>
          <w:lang w:val="en-GB"/>
        </w:rPr>
        <w:t>s</w:t>
      </w:r>
      <w:r w:rsidRPr="00E116B6" w:rsidR="00263656">
        <w:rPr>
          <w:lang w:val="en-GB"/>
        </w:rPr>
        <w:t>, one</w:t>
      </w:r>
      <w:r w:rsidRPr="00E116B6" w:rsidR="00462D2C">
        <w:rPr>
          <w:lang w:val="en-GB"/>
        </w:rPr>
        <w:t xml:space="preserve"> of the applicant</w:t>
      </w:r>
      <w:r w:rsidRPr="00E116B6" w:rsidR="00E116B6">
        <w:rPr>
          <w:lang w:val="en-GB"/>
        </w:rPr>
        <w:t>’</w:t>
      </w:r>
      <w:r w:rsidRPr="00E116B6" w:rsidR="00462D2C">
        <w:rPr>
          <w:lang w:val="en-GB"/>
        </w:rPr>
        <w:t xml:space="preserve">s thorax and </w:t>
      </w:r>
      <w:r w:rsidRPr="00E116B6" w:rsidR="00263656">
        <w:rPr>
          <w:lang w:val="en-GB"/>
        </w:rPr>
        <w:t xml:space="preserve">the other </w:t>
      </w:r>
      <w:r w:rsidRPr="00E116B6" w:rsidR="00462D2C">
        <w:rPr>
          <w:lang w:val="en-GB"/>
        </w:rPr>
        <w:t xml:space="preserve">of </w:t>
      </w:r>
      <w:r w:rsidRPr="00E116B6" w:rsidR="00222C98">
        <w:rPr>
          <w:lang w:val="en-GB"/>
        </w:rPr>
        <w:t xml:space="preserve">one </w:t>
      </w:r>
      <w:r w:rsidRPr="00E116B6" w:rsidR="00462D2C">
        <w:rPr>
          <w:lang w:val="en-GB"/>
        </w:rPr>
        <w:t>side of his head</w:t>
      </w:r>
      <w:r w:rsidRPr="00E116B6" w:rsidR="00222C98">
        <w:rPr>
          <w:lang w:val="en-GB"/>
        </w:rPr>
        <w:t xml:space="preserve"> (see</w:t>
      </w:r>
      <w:r w:rsidRPr="00E116B6" w:rsidR="00014839">
        <w:rPr>
          <w:lang w:val="en-GB"/>
        </w:rPr>
        <w:t xml:space="preserve"> </w:t>
      </w:r>
      <w:r w:rsidRPr="00E116B6" w:rsidR="00222C98">
        <w:rPr>
          <w:lang w:val="en-GB"/>
        </w:rPr>
        <w:t>paragraph</w:t>
      </w:r>
      <w:r w:rsidRPr="00E116B6" w:rsidR="007161B2">
        <w:rPr>
          <w:lang w:val="en-GB"/>
        </w:rPr>
        <w:t xml:space="preserve"> </w:t>
      </w:r>
      <w:r w:rsidRPr="00E116B6" w:rsidR="007161B2">
        <w:rPr>
          <w:lang w:val="en-GB"/>
        </w:rPr>
        <w:fldChar w:fldCharType="begin"/>
      </w:r>
      <w:r w:rsidRPr="00E116B6" w:rsidR="007161B2">
        <w:rPr>
          <w:lang w:val="en-GB"/>
        </w:rPr>
        <w:instrText xml:space="preserve"> REF medreport1 \h </w:instrText>
      </w:r>
      <w:r w:rsidRPr="00E116B6" w:rsidR="007161B2">
        <w:rPr>
          <w:lang w:val="en-GB"/>
        </w:rPr>
      </w:r>
      <w:r w:rsidRPr="00E116B6" w:rsidR="007161B2">
        <w:rPr>
          <w:lang w:val="en-GB"/>
        </w:rPr>
        <w:fldChar w:fldCharType="separate"/>
      </w:r>
      <w:r w:rsidRPr="00E116B6" w:rsidR="00E116B6">
        <w:rPr>
          <w:noProof/>
          <w:lang w:val="en-GB"/>
        </w:rPr>
        <w:t>35</w:t>
      </w:r>
      <w:r w:rsidRPr="00E116B6" w:rsidR="007161B2">
        <w:rPr>
          <w:lang w:val="en-GB"/>
        </w:rPr>
        <w:fldChar w:fldCharType="end"/>
      </w:r>
      <w:r w:rsidRPr="00E116B6" w:rsidR="007161B2">
        <w:rPr>
          <w:lang w:val="en-GB"/>
        </w:rPr>
        <w:t xml:space="preserve"> </w:t>
      </w:r>
      <w:r w:rsidRPr="00E116B6" w:rsidR="00222C98">
        <w:rPr>
          <w:lang w:val="en-GB"/>
        </w:rPr>
        <w:t>above)</w:t>
      </w:r>
      <w:r w:rsidRPr="00E116B6" w:rsidR="00462D2C">
        <w:rPr>
          <w:lang w:val="en-GB"/>
        </w:rPr>
        <w:t xml:space="preserve">. In </w:t>
      </w:r>
      <w:r w:rsidRPr="00E116B6" w:rsidR="002E009C">
        <w:rPr>
          <w:lang w:val="en-GB"/>
        </w:rPr>
        <w:t xml:space="preserve">those </w:t>
      </w:r>
      <w:r w:rsidRPr="00E116B6" w:rsidR="00462D2C">
        <w:rPr>
          <w:lang w:val="en-GB"/>
        </w:rPr>
        <w:t>circumstances,</w:t>
      </w:r>
      <w:r w:rsidRPr="00E116B6" w:rsidR="00360F75">
        <w:rPr>
          <w:lang w:val="en-GB"/>
        </w:rPr>
        <w:t xml:space="preserve"> the Court </w:t>
      </w:r>
      <w:r w:rsidRPr="00E116B6" w:rsidR="009D7AC5">
        <w:rPr>
          <w:lang w:val="en-GB"/>
        </w:rPr>
        <w:t>concludes</w:t>
      </w:r>
      <w:r w:rsidRPr="00E116B6" w:rsidR="002E009C">
        <w:rPr>
          <w:lang w:val="en-GB"/>
        </w:rPr>
        <w:t xml:space="preserve"> </w:t>
      </w:r>
      <w:r w:rsidRPr="00E116B6" w:rsidR="00360F75">
        <w:rPr>
          <w:lang w:val="en-GB"/>
        </w:rPr>
        <w:t xml:space="preserve">that </w:t>
      </w:r>
      <w:r w:rsidRPr="00E116B6" w:rsidR="00462D2C">
        <w:rPr>
          <w:lang w:val="en-GB"/>
        </w:rPr>
        <w:t>the</w:t>
      </w:r>
      <w:r w:rsidRPr="00E116B6" w:rsidR="00360F75">
        <w:rPr>
          <w:lang w:val="en-GB"/>
        </w:rPr>
        <w:t xml:space="preserve"> failure of the </w:t>
      </w:r>
      <w:r w:rsidRPr="00E116B6" w:rsidR="00462D2C">
        <w:rPr>
          <w:lang w:val="en-GB"/>
        </w:rPr>
        <w:t xml:space="preserve">relevant State medical </w:t>
      </w:r>
      <w:r w:rsidRPr="00E116B6" w:rsidR="00360F75">
        <w:rPr>
          <w:lang w:val="en-GB"/>
        </w:rPr>
        <w:t>personnel to ensure that the applicant</w:t>
      </w:r>
      <w:r w:rsidRPr="00E116B6" w:rsidR="00E116B6">
        <w:rPr>
          <w:lang w:val="en-GB"/>
        </w:rPr>
        <w:t>’</w:t>
      </w:r>
      <w:r w:rsidRPr="00E116B6" w:rsidR="00360F75">
        <w:rPr>
          <w:lang w:val="en-GB"/>
        </w:rPr>
        <w:t xml:space="preserve">s injuries were examined and documented </w:t>
      </w:r>
      <w:r w:rsidRPr="00E116B6" w:rsidR="002E009C">
        <w:rPr>
          <w:lang w:val="en-GB"/>
        </w:rPr>
        <w:t xml:space="preserve">in a timely and adequate manner </w:t>
      </w:r>
      <w:r w:rsidRPr="00E116B6" w:rsidR="00360F75">
        <w:rPr>
          <w:lang w:val="en-GB"/>
        </w:rPr>
        <w:t>d</w:t>
      </w:r>
      <w:r w:rsidRPr="00E116B6" w:rsidR="002E009C">
        <w:rPr>
          <w:lang w:val="en-GB"/>
        </w:rPr>
        <w:t xml:space="preserve">eprived </w:t>
      </w:r>
      <w:r w:rsidRPr="00E116B6" w:rsidR="00360F75">
        <w:rPr>
          <w:lang w:val="en-GB"/>
        </w:rPr>
        <w:t>the applicant of an important safeguard against a breach of Article 3 of the Conventi</w:t>
      </w:r>
      <w:r w:rsidRPr="00E116B6" w:rsidR="006555F4">
        <w:rPr>
          <w:lang w:val="en-GB"/>
        </w:rPr>
        <w:t xml:space="preserve">on </w:t>
      </w:r>
      <w:r w:rsidRPr="00E116B6" w:rsidR="00462D2C">
        <w:rPr>
          <w:lang w:val="en-GB"/>
        </w:rPr>
        <w:t xml:space="preserve">(compare, </w:t>
      </w:r>
      <w:r w:rsidRPr="00E116B6" w:rsidR="00F42A86">
        <w:rPr>
          <w:i/>
          <w:lang w:val="en-GB"/>
        </w:rPr>
        <w:t>mutatis mutandis</w:t>
      </w:r>
      <w:r w:rsidRPr="00E116B6" w:rsidR="00462D2C">
        <w:rPr>
          <w:lang w:val="en-GB"/>
        </w:rPr>
        <w:t>, with</w:t>
      </w:r>
      <w:r w:rsidRPr="00E116B6" w:rsidR="00D16CC5">
        <w:rPr>
          <w:lang w:val="en-GB"/>
        </w:rPr>
        <w:t xml:space="preserve"> </w:t>
      </w:r>
      <w:r w:rsidRPr="00E116B6" w:rsidR="009F0DE4">
        <w:rPr>
          <w:i/>
          <w:lang w:val="en-GB"/>
        </w:rPr>
        <w:t>Zayev v.</w:t>
      </w:r>
      <w:r w:rsidRPr="00E116B6" w:rsidR="00665943">
        <w:rPr>
          <w:i/>
          <w:lang w:val="en-GB"/>
        </w:rPr>
        <w:t> </w:t>
      </w:r>
      <w:r w:rsidRPr="00E116B6" w:rsidR="009F0DE4">
        <w:rPr>
          <w:i/>
          <w:lang w:val="en-GB"/>
        </w:rPr>
        <w:t>Russia</w:t>
      </w:r>
      <w:r w:rsidRPr="00E116B6" w:rsidR="009F0DE4">
        <w:rPr>
          <w:lang w:val="en-GB"/>
        </w:rPr>
        <w:t>, no.</w:t>
      </w:r>
      <w:r w:rsidRPr="00E116B6" w:rsidR="006555F4">
        <w:rPr>
          <w:lang w:val="en-GB"/>
        </w:rPr>
        <w:t xml:space="preserve"> </w:t>
      </w:r>
      <w:hyperlink w:tgtFrame="_blank" w:history="1" w:anchor="{&quot;appno&quot;:[&quot;36552/05&quot;]}" r:id="rId11">
        <w:r w:rsidRPr="00E116B6" w:rsidR="009F0DE4">
          <w:rPr>
            <w:lang w:val="en-GB"/>
          </w:rPr>
          <w:t>36552/05</w:t>
        </w:r>
      </w:hyperlink>
      <w:r w:rsidRPr="00E116B6" w:rsidR="009F0DE4">
        <w:rPr>
          <w:lang w:val="en-GB"/>
        </w:rPr>
        <w:t>, §§</w:t>
      </w:r>
      <w:r w:rsidRPr="00E116B6" w:rsidR="006555F4">
        <w:rPr>
          <w:lang w:val="en-GB"/>
        </w:rPr>
        <w:t xml:space="preserve"> </w:t>
      </w:r>
      <w:r w:rsidRPr="00E116B6" w:rsidR="009F0DE4">
        <w:rPr>
          <w:lang w:val="en-GB"/>
        </w:rPr>
        <w:t>85</w:t>
      </w:r>
      <w:r w:rsidRPr="00E116B6" w:rsidR="00665943">
        <w:rPr>
          <w:lang w:val="en-GB"/>
        </w:rPr>
        <w:noBreakHyphen/>
      </w:r>
      <w:r w:rsidRPr="00E116B6" w:rsidR="009F0DE4">
        <w:rPr>
          <w:lang w:val="en-GB"/>
        </w:rPr>
        <w:t>86, 16</w:t>
      </w:r>
      <w:r w:rsidRPr="00E116B6" w:rsidR="00665943">
        <w:rPr>
          <w:lang w:val="en-GB"/>
        </w:rPr>
        <w:t> </w:t>
      </w:r>
      <w:r w:rsidRPr="00E116B6" w:rsidR="009F0DE4">
        <w:rPr>
          <w:lang w:val="en-GB"/>
        </w:rPr>
        <w:t xml:space="preserve">April 2015; </w:t>
      </w:r>
      <w:r w:rsidRPr="00E116B6" w:rsidR="009F0DE4">
        <w:rPr>
          <w:i/>
          <w:lang w:val="en-GB"/>
        </w:rPr>
        <w:t>Davitidze v. Russia</w:t>
      </w:r>
      <w:r w:rsidRPr="00E116B6" w:rsidR="009F0DE4">
        <w:rPr>
          <w:lang w:val="en-GB"/>
        </w:rPr>
        <w:t xml:space="preserve">, no. </w:t>
      </w:r>
      <w:hyperlink w:tgtFrame="_blank" w:history="1" w:anchor="{&quot;appno&quot;:[&quot;8810/05&quot;]}" r:id="rId12">
        <w:r w:rsidRPr="00E116B6" w:rsidR="009F0DE4">
          <w:rPr>
            <w:lang w:val="en-GB"/>
          </w:rPr>
          <w:t>8810/05</w:t>
        </w:r>
      </w:hyperlink>
      <w:r w:rsidRPr="00E116B6" w:rsidR="009F0DE4">
        <w:rPr>
          <w:lang w:val="en-GB"/>
        </w:rPr>
        <w:t>, §</w:t>
      </w:r>
      <w:r w:rsidRPr="00E116B6" w:rsidR="0000400E">
        <w:rPr>
          <w:lang w:val="en-GB"/>
        </w:rPr>
        <w:t> </w:t>
      </w:r>
      <w:r w:rsidRPr="00E116B6" w:rsidR="004613E6">
        <w:rPr>
          <w:lang w:val="en-GB"/>
        </w:rPr>
        <w:t>95, 30 </w:t>
      </w:r>
      <w:r w:rsidRPr="00E116B6" w:rsidR="009F0DE4">
        <w:rPr>
          <w:lang w:val="en-GB"/>
        </w:rPr>
        <w:t xml:space="preserve">May 2013; </w:t>
      </w:r>
      <w:r w:rsidRPr="00E116B6" w:rsidR="00462D2C">
        <w:rPr>
          <w:i/>
          <w:lang w:val="en-GB"/>
        </w:rPr>
        <w:t>Barabanshchikov v.</w:t>
      </w:r>
      <w:r w:rsidRPr="00E116B6" w:rsidR="00665943">
        <w:rPr>
          <w:i/>
          <w:lang w:val="en-GB"/>
        </w:rPr>
        <w:t> </w:t>
      </w:r>
      <w:r w:rsidRPr="00E116B6" w:rsidR="00462D2C">
        <w:rPr>
          <w:i/>
          <w:lang w:val="en-GB"/>
        </w:rPr>
        <w:t>Russia</w:t>
      </w:r>
      <w:r w:rsidRPr="00E116B6" w:rsidR="00462D2C">
        <w:rPr>
          <w:lang w:val="en-GB"/>
        </w:rPr>
        <w:t>, no.</w:t>
      </w:r>
      <w:r w:rsidRPr="00E116B6" w:rsidR="00665943">
        <w:rPr>
          <w:lang w:val="en-GB"/>
        </w:rPr>
        <w:t> </w:t>
      </w:r>
      <w:hyperlink w:tgtFrame="_blank" w:history="1" w:anchor="{&quot;appno&quot;:[&quot;36220/02&quot;]}" r:id="rId13">
        <w:r w:rsidRPr="00E116B6" w:rsidR="00462D2C">
          <w:rPr>
            <w:lang w:val="en-GB"/>
          </w:rPr>
          <w:t>36220/02</w:t>
        </w:r>
      </w:hyperlink>
      <w:r w:rsidRPr="00E116B6" w:rsidR="00462D2C">
        <w:rPr>
          <w:lang w:val="en-GB"/>
        </w:rPr>
        <w:t>, §</w:t>
      </w:r>
      <w:r w:rsidRPr="00E116B6" w:rsidR="00665943">
        <w:rPr>
          <w:lang w:val="en-GB"/>
        </w:rPr>
        <w:t> </w:t>
      </w:r>
      <w:r w:rsidRPr="00E116B6" w:rsidR="00462D2C">
        <w:rPr>
          <w:lang w:val="en-GB"/>
        </w:rPr>
        <w:t>46, 8</w:t>
      </w:r>
      <w:r w:rsidRPr="00E116B6" w:rsidR="0000400E">
        <w:rPr>
          <w:lang w:val="en-GB"/>
        </w:rPr>
        <w:t> </w:t>
      </w:r>
      <w:r w:rsidRPr="00E116B6" w:rsidR="00462D2C">
        <w:rPr>
          <w:lang w:val="en-GB"/>
        </w:rPr>
        <w:t>January 2009</w:t>
      </w:r>
      <w:r w:rsidRPr="00E116B6" w:rsidR="002530CA">
        <w:rPr>
          <w:lang w:val="en-GB"/>
        </w:rPr>
        <w:t>,</w:t>
      </w:r>
      <w:r w:rsidRPr="00E116B6" w:rsidR="001A66F4">
        <w:rPr>
          <w:lang w:val="en-GB"/>
        </w:rPr>
        <w:t xml:space="preserve"> and </w:t>
      </w:r>
      <w:r w:rsidRPr="00E116B6" w:rsidR="001A66F4">
        <w:rPr>
          <w:i/>
          <w:lang w:val="en-GB"/>
        </w:rPr>
        <w:t>Dvalishvili</w:t>
      </w:r>
      <w:r w:rsidRPr="00E116B6" w:rsidR="001A66F4">
        <w:rPr>
          <w:lang w:val="en-GB"/>
        </w:rPr>
        <w:t xml:space="preserve">, cited above, </w:t>
      </w:r>
      <w:r w:rsidRPr="00E116B6" w:rsidR="001A66F4">
        <w:rPr>
          <w:rFonts w:cstheme="minorHAnsi"/>
          <w:lang w:val="en-GB"/>
        </w:rPr>
        <w:t>§</w:t>
      </w:r>
      <w:r w:rsidRPr="00E116B6" w:rsidR="00665943">
        <w:rPr>
          <w:lang w:val="en-GB"/>
        </w:rPr>
        <w:t> </w:t>
      </w:r>
      <w:r w:rsidRPr="00E116B6" w:rsidR="001A66F4">
        <w:rPr>
          <w:lang w:val="en-GB"/>
        </w:rPr>
        <w:t>48</w:t>
      </w:r>
      <w:r w:rsidRPr="00E116B6" w:rsidR="00462D2C">
        <w:rPr>
          <w:lang w:val="en-GB"/>
        </w:rPr>
        <w:t>).</w:t>
      </w:r>
    </w:p>
    <w:p w:rsidRPr="00E116B6" w:rsidR="00360F75" w:rsidP="00E116B6" w:rsidRDefault="004C4CF3">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107</w:t>
      </w:r>
      <w:r w:rsidRPr="00E116B6">
        <w:rPr>
          <w:lang w:val="en-GB"/>
        </w:rPr>
        <w:fldChar w:fldCharType="end"/>
      </w:r>
      <w:r w:rsidRPr="00E116B6" w:rsidR="00830DA3">
        <w:rPr>
          <w:lang w:val="en-GB"/>
        </w:rPr>
        <w:t>.  </w:t>
      </w:r>
      <w:r w:rsidRPr="00E116B6" w:rsidR="007054A7">
        <w:rPr>
          <w:lang w:val="en-GB"/>
        </w:rPr>
        <w:t>Despite those circumstances</w:t>
      </w:r>
      <w:r w:rsidRPr="00E116B6" w:rsidR="00C579B9">
        <w:rPr>
          <w:lang w:val="en-GB"/>
        </w:rPr>
        <w:t xml:space="preserve">, even the belated </w:t>
      </w:r>
      <w:r w:rsidRPr="00E116B6" w:rsidR="002E009C">
        <w:rPr>
          <w:lang w:val="en-GB"/>
        </w:rPr>
        <w:t>examinati</w:t>
      </w:r>
      <w:r w:rsidRPr="00E116B6" w:rsidR="006555F4">
        <w:rPr>
          <w:lang w:val="en-GB"/>
        </w:rPr>
        <w:t xml:space="preserve">on </w:t>
      </w:r>
      <w:r w:rsidRPr="00E116B6" w:rsidR="002E009C">
        <w:rPr>
          <w:lang w:val="en-GB"/>
        </w:rPr>
        <w:t xml:space="preserve">of </w:t>
      </w:r>
      <w:r w:rsidRPr="00E116B6" w:rsidR="00C579B9">
        <w:rPr>
          <w:lang w:val="en-GB"/>
        </w:rPr>
        <w:t xml:space="preserve">the first applicant, conducted by private experts at the request of his family </w:t>
      </w:r>
      <w:r w:rsidRPr="00E116B6" w:rsidR="006555F4">
        <w:rPr>
          <w:lang w:val="en-GB"/>
        </w:rPr>
        <w:t xml:space="preserve">on </w:t>
      </w:r>
      <w:r w:rsidRPr="00E116B6" w:rsidR="00C579B9">
        <w:rPr>
          <w:lang w:val="en-GB"/>
        </w:rPr>
        <w:t>29</w:t>
      </w:r>
      <w:r w:rsidRPr="00E116B6" w:rsidR="00665943">
        <w:rPr>
          <w:lang w:val="en-GB"/>
        </w:rPr>
        <w:t> </w:t>
      </w:r>
      <w:r w:rsidRPr="00E116B6" w:rsidR="00C579B9">
        <w:rPr>
          <w:lang w:val="en-GB"/>
        </w:rPr>
        <w:t xml:space="preserve">September 2004, </w:t>
      </w:r>
      <w:r w:rsidRPr="00E116B6" w:rsidR="00270FF8">
        <w:rPr>
          <w:lang w:val="en-GB"/>
        </w:rPr>
        <w:t>involv</w:t>
      </w:r>
      <w:r w:rsidRPr="00E116B6" w:rsidR="007054A7">
        <w:rPr>
          <w:lang w:val="en-GB"/>
        </w:rPr>
        <w:t xml:space="preserve">ing </w:t>
      </w:r>
      <w:r w:rsidRPr="00E116B6" w:rsidR="00270FF8">
        <w:rPr>
          <w:lang w:val="en-GB"/>
        </w:rPr>
        <w:t>for the first time</w:t>
      </w:r>
      <w:r w:rsidRPr="00E116B6" w:rsidR="00B60192">
        <w:rPr>
          <w:lang w:val="en-GB"/>
        </w:rPr>
        <w:t xml:space="preserve"> a comprehensive examinati</w:t>
      </w:r>
      <w:r w:rsidRPr="00E116B6" w:rsidR="006555F4">
        <w:rPr>
          <w:lang w:val="en-GB"/>
        </w:rPr>
        <w:t xml:space="preserve">on </w:t>
      </w:r>
      <w:r w:rsidRPr="00E116B6" w:rsidR="00B60192">
        <w:rPr>
          <w:lang w:val="en-GB"/>
        </w:rPr>
        <w:t>of the applicant in person,</w:t>
      </w:r>
      <w:r w:rsidRPr="00E116B6" w:rsidR="00270FF8">
        <w:rPr>
          <w:lang w:val="en-GB"/>
        </w:rPr>
        <w:t xml:space="preserve"> </w:t>
      </w:r>
      <w:r w:rsidRPr="00E116B6" w:rsidR="002E009C">
        <w:rPr>
          <w:lang w:val="en-GB"/>
        </w:rPr>
        <w:t xml:space="preserve">still </w:t>
      </w:r>
      <w:r w:rsidRPr="00E116B6" w:rsidR="00DD79DF">
        <w:rPr>
          <w:lang w:val="en-GB"/>
        </w:rPr>
        <w:t>revealed</w:t>
      </w:r>
      <w:r w:rsidRPr="00E116B6" w:rsidR="00C579B9">
        <w:rPr>
          <w:lang w:val="en-GB"/>
        </w:rPr>
        <w:t xml:space="preserve"> the existence of </w:t>
      </w:r>
      <w:r w:rsidRPr="00E116B6" w:rsidR="00270FF8">
        <w:rPr>
          <w:lang w:val="en-GB"/>
        </w:rPr>
        <w:t xml:space="preserve">physical and psychological </w:t>
      </w:r>
      <w:r w:rsidRPr="00E116B6" w:rsidR="001D7645">
        <w:rPr>
          <w:lang w:val="en-GB"/>
        </w:rPr>
        <w:t>effects which could have been caused by the type of ill-treatment complained of</w:t>
      </w:r>
      <w:r w:rsidRPr="00E116B6" w:rsidR="00222C98">
        <w:rPr>
          <w:lang w:val="en-GB"/>
        </w:rPr>
        <w:t xml:space="preserve"> (</w:t>
      </w:r>
      <w:r w:rsidRPr="00E116B6" w:rsidR="007161B2">
        <w:rPr>
          <w:lang w:val="en-GB"/>
        </w:rPr>
        <w:t xml:space="preserve">see paragraph </w:t>
      </w:r>
      <w:r w:rsidRPr="00E116B6" w:rsidR="007161B2">
        <w:rPr>
          <w:lang w:val="en-GB"/>
        </w:rPr>
        <w:fldChar w:fldCharType="begin"/>
      </w:r>
      <w:r w:rsidRPr="00E116B6" w:rsidR="007161B2">
        <w:rPr>
          <w:lang w:val="en-GB"/>
        </w:rPr>
        <w:instrText xml:space="preserve"> REF complaintdate4 \h </w:instrText>
      </w:r>
      <w:r w:rsidRPr="00E116B6" w:rsidR="007161B2">
        <w:rPr>
          <w:lang w:val="en-GB"/>
        </w:rPr>
      </w:r>
      <w:r w:rsidRPr="00E116B6" w:rsidR="007161B2">
        <w:rPr>
          <w:lang w:val="en-GB"/>
        </w:rPr>
        <w:fldChar w:fldCharType="separate"/>
      </w:r>
      <w:r w:rsidRPr="00E116B6" w:rsidR="00E116B6">
        <w:rPr>
          <w:noProof/>
          <w:lang w:val="en-GB"/>
        </w:rPr>
        <w:t>48</w:t>
      </w:r>
      <w:r w:rsidRPr="00E116B6" w:rsidR="007161B2">
        <w:rPr>
          <w:lang w:val="en-GB"/>
        </w:rPr>
        <w:fldChar w:fldCharType="end"/>
      </w:r>
      <w:r w:rsidRPr="00E116B6" w:rsidR="007161B2">
        <w:rPr>
          <w:lang w:val="en-GB"/>
        </w:rPr>
        <w:t xml:space="preserve"> </w:t>
      </w:r>
      <w:r w:rsidRPr="00E116B6" w:rsidR="00222C98">
        <w:rPr>
          <w:lang w:val="en-GB"/>
        </w:rPr>
        <w:t>above)</w:t>
      </w:r>
      <w:r w:rsidRPr="00E116B6" w:rsidR="001D7645">
        <w:rPr>
          <w:lang w:val="en-GB"/>
        </w:rPr>
        <w:t xml:space="preserve">. </w:t>
      </w:r>
      <w:r w:rsidRPr="00E116B6" w:rsidR="00DD79DF">
        <w:rPr>
          <w:lang w:val="en-GB"/>
        </w:rPr>
        <w:t xml:space="preserve">Those medical findings were then </w:t>
      </w:r>
      <w:r w:rsidRPr="00E116B6" w:rsidR="001D7645">
        <w:rPr>
          <w:lang w:val="en-GB"/>
        </w:rPr>
        <w:t xml:space="preserve">mostly </w:t>
      </w:r>
      <w:r w:rsidRPr="00E116B6" w:rsidR="00DD79DF">
        <w:rPr>
          <w:lang w:val="en-GB"/>
        </w:rPr>
        <w:t>confirmed by the reports of 19 October</w:t>
      </w:r>
      <w:r w:rsidRPr="00E116B6" w:rsidR="004613E6">
        <w:rPr>
          <w:lang w:val="en-GB"/>
        </w:rPr>
        <w:t xml:space="preserve"> and 15 </w:t>
      </w:r>
      <w:r w:rsidRPr="00E116B6" w:rsidR="00DD79DF">
        <w:rPr>
          <w:lang w:val="en-GB"/>
        </w:rPr>
        <w:t xml:space="preserve">November 2004 of two additional medical examinations of the first applicant conducted by State experts and were </w:t>
      </w:r>
      <w:r w:rsidRPr="00E116B6" w:rsidR="001D7645">
        <w:rPr>
          <w:lang w:val="en-GB"/>
        </w:rPr>
        <w:t>even</w:t>
      </w:r>
      <w:r w:rsidRPr="00E116B6" w:rsidR="00DD79DF">
        <w:rPr>
          <w:lang w:val="en-GB"/>
        </w:rPr>
        <w:t xml:space="preserve"> endorsed by the domestic courts as proof of traces of </w:t>
      </w:r>
      <w:r w:rsidRPr="00E116B6" w:rsidR="001D7645">
        <w:rPr>
          <w:lang w:val="en-GB"/>
        </w:rPr>
        <w:t>physical abuse</w:t>
      </w:r>
      <w:r w:rsidRPr="00E116B6" w:rsidR="00DD79DF">
        <w:rPr>
          <w:lang w:val="en-GB"/>
        </w:rPr>
        <w:t xml:space="preserve"> calling for the need to conduct a</w:t>
      </w:r>
      <w:r w:rsidRPr="00E116B6" w:rsidR="001D7645">
        <w:rPr>
          <w:lang w:val="en-GB"/>
        </w:rPr>
        <w:t>n adequate investigati</w:t>
      </w:r>
      <w:r w:rsidRPr="00E116B6" w:rsidR="006555F4">
        <w:rPr>
          <w:lang w:val="en-GB"/>
        </w:rPr>
        <w:t xml:space="preserve">on </w:t>
      </w:r>
      <w:r w:rsidRPr="00E116B6" w:rsidR="00222C98">
        <w:rPr>
          <w:lang w:val="en-GB"/>
        </w:rPr>
        <w:t>(see paragraph</w:t>
      </w:r>
      <w:r w:rsidRPr="00E116B6" w:rsidR="00665943">
        <w:rPr>
          <w:lang w:val="en-GB"/>
        </w:rPr>
        <w:t xml:space="preserve"> </w:t>
      </w:r>
      <w:r w:rsidRPr="00E116B6" w:rsidR="00665943">
        <w:rPr>
          <w:lang w:val="en-GB"/>
        </w:rPr>
        <w:fldChar w:fldCharType="begin"/>
      </w:r>
      <w:r w:rsidRPr="00E116B6" w:rsidR="00665943">
        <w:rPr>
          <w:lang w:val="en-GB"/>
        </w:rPr>
        <w:instrText xml:space="preserve"> REF medreport2 \h </w:instrText>
      </w:r>
      <w:r w:rsidRPr="00E116B6" w:rsidR="00665943">
        <w:rPr>
          <w:lang w:val="en-GB"/>
        </w:rPr>
      </w:r>
      <w:r w:rsidRPr="00E116B6" w:rsidR="00665943">
        <w:rPr>
          <w:lang w:val="en-GB"/>
        </w:rPr>
        <w:fldChar w:fldCharType="separate"/>
      </w:r>
      <w:r w:rsidRPr="00E116B6" w:rsidR="00E116B6">
        <w:rPr>
          <w:noProof/>
          <w:lang w:val="en-GB"/>
        </w:rPr>
        <w:t>51</w:t>
      </w:r>
      <w:r w:rsidRPr="00E116B6" w:rsidR="00665943">
        <w:rPr>
          <w:lang w:val="en-GB"/>
        </w:rPr>
        <w:fldChar w:fldCharType="end"/>
      </w:r>
      <w:r w:rsidRPr="00E116B6" w:rsidR="007161B2">
        <w:rPr>
          <w:lang w:val="en-GB"/>
        </w:rPr>
        <w:t xml:space="preserve"> </w:t>
      </w:r>
      <w:r w:rsidRPr="00E116B6" w:rsidR="00222C98">
        <w:rPr>
          <w:lang w:val="en-GB"/>
        </w:rPr>
        <w:t>above)</w:t>
      </w:r>
      <w:r w:rsidRPr="00E116B6" w:rsidR="001D7645">
        <w:rPr>
          <w:lang w:val="en-GB"/>
        </w:rPr>
        <w:t>.</w:t>
      </w:r>
      <w:r w:rsidRPr="00E116B6" w:rsidR="0098181B">
        <w:rPr>
          <w:lang w:val="en-GB"/>
        </w:rPr>
        <w:t> </w:t>
      </w:r>
      <w:r w:rsidRPr="00E116B6" w:rsidR="00405D60">
        <w:rPr>
          <w:lang w:val="en-GB"/>
        </w:rPr>
        <w:t>T</w:t>
      </w:r>
      <w:r w:rsidRPr="00E116B6" w:rsidR="00043995">
        <w:rPr>
          <w:lang w:val="en-GB"/>
        </w:rPr>
        <w:t xml:space="preserve">he Court </w:t>
      </w:r>
      <w:r w:rsidRPr="00E116B6" w:rsidR="00405D60">
        <w:rPr>
          <w:lang w:val="en-GB"/>
        </w:rPr>
        <w:t xml:space="preserve">also </w:t>
      </w:r>
      <w:r w:rsidRPr="00E116B6" w:rsidR="00043995">
        <w:rPr>
          <w:lang w:val="en-GB"/>
        </w:rPr>
        <w:t xml:space="preserve">notes that the various relevant witnesses who had </w:t>
      </w:r>
      <w:r w:rsidRPr="00E116B6" w:rsidR="0098181B">
        <w:rPr>
          <w:lang w:val="en-GB"/>
        </w:rPr>
        <w:t>seen</w:t>
      </w:r>
      <w:r w:rsidRPr="00E116B6" w:rsidR="00043995">
        <w:rPr>
          <w:lang w:val="en-GB"/>
        </w:rPr>
        <w:t xml:space="preserve"> the first applicant either </w:t>
      </w:r>
      <w:r w:rsidRPr="00E116B6" w:rsidR="006555F4">
        <w:rPr>
          <w:lang w:val="en-GB"/>
        </w:rPr>
        <w:t xml:space="preserve">on </w:t>
      </w:r>
      <w:r w:rsidRPr="00E116B6" w:rsidR="00043995">
        <w:rPr>
          <w:lang w:val="en-GB"/>
        </w:rPr>
        <w:t xml:space="preserve">the day of or shortly after the alleged ill-treatment, stated before the trial court that they had noticed </w:t>
      </w:r>
      <w:r w:rsidRPr="00E116B6" w:rsidR="00E14A8B">
        <w:rPr>
          <w:lang w:val="en-GB"/>
        </w:rPr>
        <w:t xml:space="preserve">signs </w:t>
      </w:r>
      <w:r w:rsidRPr="00E116B6" w:rsidR="00043995">
        <w:rPr>
          <w:lang w:val="en-GB"/>
        </w:rPr>
        <w:t>of physical injur</w:t>
      </w:r>
      <w:r w:rsidRPr="00E116B6" w:rsidR="00E14A8B">
        <w:rPr>
          <w:lang w:val="en-GB"/>
        </w:rPr>
        <w:t>y</w:t>
      </w:r>
      <w:r w:rsidRPr="00E116B6" w:rsidR="00043995">
        <w:rPr>
          <w:lang w:val="en-GB"/>
        </w:rPr>
        <w:t xml:space="preserve"> </w:t>
      </w:r>
      <w:r w:rsidRPr="00E116B6" w:rsidR="006555F4">
        <w:rPr>
          <w:lang w:val="en-GB"/>
        </w:rPr>
        <w:t xml:space="preserve">on </w:t>
      </w:r>
      <w:r w:rsidRPr="00E116B6" w:rsidR="002E009C">
        <w:rPr>
          <w:lang w:val="en-GB"/>
        </w:rPr>
        <w:t>him</w:t>
      </w:r>
      <w:r w:rsidRPr="00E116B6" w:rsidR="00665943">
        <w:rPr>
          <w:lang w:val="en-GB"/>
        </w:rPr>
        <w:t> </w:t>
      </w:r>
      <w:r w:rsidRPr="00E116B6" w:rsidR="00222C98">
        <w:rPr>
          <w:lang w:val="en-GB"/>
        </w:rPr>
        <w:t>(see paragraph</w:t>
      </w:r>
      <w:r w:rsidRPr="00E116B6" w:rsidR="00665943">
        <w:rPr>
          <w:lang w:val="en-GB"/>
        </w:rPr>
        <w:t> </w:t>
      </w:r>
      <w:r w:rsidRPr="00E116B6" w:rsidR="00F3697B">
        <w:rPr>
          <w:lang w:val="en-GB"/>
        </w:rPr>
        <w:t>63</w:t>
      </w:r>
      <w:r w:rsidRPr="00E116B6" w:rsidR="00222C98">
        <w:rPr>
          <w:lang w:val="en-GB"/>
        </w:rPr>
        <w:t xml:space="preserve"> above)</w:t>
      </w:r>
      <w:r w:rsidRPr="00E116B6" w:rsidR="00043995">
        <w:rPr>
          <w:lang w:val="en-GB"/>
        </w:rPr>
        <w:t>.</w:t>
      </w:r>
      <w:r w:rsidRPr="00E116B6" w:rsidR="0098181B">
        <w:rPr>
          <w:lang w:val="en-GB"/>
        </w:rPr>
        <w:t xml:space="preserve"> </w:t>
      </w:r>
      <w:r w:rsidRPr="00E116B6" w:rsidR="00405D60">
        <w:rPr>
          <w:lang w:val="en-GB"/>
        </w:rPr>
        <w:t>Furthermore, t</w:t>
      </w:r>
      <w:r w:rsidRPr="00E116B6" w:rsidR="0098181B">
        <w:rPr>
          <w:lang w:val="en-GB"/>
        </w:rPr>
        <w:t xml:space="preserve">he Government themselves never gave any alternative </w:t>
      </w:r>
      <w:r w:rsidRPr="00E116B6" w:rsidR="00405D60">
        <w:rPr>
          <w:lang w:val="en-GB"/>
        </w:rPr>
        <w:t>explanati</w:t>
      </w:r>
      <w:r w:rsidRPr="00E116B6" w:rsidR="006555F4">
        <w:rPr>
          <w:lang w:val="en-GB"/>
        </w:rPr>
        <w:t xml:space="preserve">on </w:t>
      </w:r>
      <w:r w:rsidRPr="00E116B6" w:rsidR="002E009C">
        <w:rPr>
          <w:lang w:val="en-GB"/>
        </w:rPr>
        <w:t xml:space="preserve">to the Court </w:t>
      </w:r>
      <w:r w:rsidRPr="00E116B6" w:rsidR="00E14A8B">
        <w:rPr>
          <w:lang w:val="en-GB"/>
        </w:rPr>
        <w:t xml:space="preserve">for </w:t>
      </w:r>
      <w:r w:rsidRPr="00E116B6" w:rsidR="0098181B">
        <w:rPr>
          <w:lang w:val="en-GB"/>
        </w:rPr>
        <w:t xml:space="preserve">the possible origin of the </w:t>
      </w:r>
      <w:r w:rsidRPr="00E116B6" w:rsidR="00E14A8B">
        <w:rPr>
          <w:lang w:val="en-GB"/>
        </w:rPr>
        <w:t xml:space="preserve">signs </w:t>
      </w:r>
      <w:r w:rsidRPr="00E116B6" w:rsidR="00405D60">
        <w:rPr>
          <w:lang w:val="en-GB"/>
        </w:rPr>
        <w:t xml:space="preserve">of ill-treatment </w:t>
      </w:r>
      <w:r w:rsidRPr="00E116B6" w:rsidR="006555F4">
        <w:rPr>
          <w:lang w:val="en-GB"/>
        </w:rPr>
        <w:t xml:space="preserve">on </w:t>
      </w:r>
      <w:r w:rsidRPr="00E116B6" w:rsidR="00405D60">
        <w:rPr>
          <w:lang w:val="en-GB"/>
        </w:rPr>
        <w:t>the applicant, which makes the applicant</w:t>
      </w:r>
      <w:r w:rsidRPr="00E116B6" w:rsidR="00E116B6">
        <w:rPr>
          <w:lang w:val="en-GB"/>
        </w:rPr>
        <w:t>’</w:t>
      </w:r>
      <w:r w:rsidRPr="00E116B6" w:rsidR="00405D60">
        <w:rPr>
          <w:lang w:val="en-GB"/>
        </w:rPr>
        <w:t>s con</w:t>
      </w:r>
      <w:r w:rsidRPr="00E116B6" w:rsidR="002E009C">
        <w:rPr>
          <w:lang w:val="en-GB"/>
        </w:rPr>
        <w:t xml:space="preserve">sistent </w:t>
      </w:r>
      <w:r w:rsidRPr="00E116B6" w:rsidR="00405D60">
        <w:rPr>
          <w:lang w:val="en-GB"/>
        </w:rPr>
        <w:t xml:space="preserve">allegations look </w:t>
      </w:r>
      <w:r w:rsidRPr="00E116B6" w:rsidR="002E009C">
        <w:rPr>
          <w:lang w:val="en-GB"/>
        </w:rPr>
        <w:t xml:space="preserve">all the </w:t>
      </w:r>
      <w:r w:rsidRPr="00E116B6" w:rsidR="00405D60">
        <w:rPr>
          <w:lang w:val="en-GB"/>
        </w:rPr>
        <w:t>more convincing.</w:t>
      </w:r>
      <w:r w:rsidRPr="00E116B6" w:rsidR="00222C98">
        <w:rPr>
          <w:lang w:val="en-GB"/>
        </w:rPr>
        <w:t xml:space="preserve"> </w:t>
      </w:r>
      <w:r w:rsidRPr="00E116B6" w:rsidR="00F3697B">
        <w:rPr>
          <w:lang w:val="en-GB"/>
        </w:rPr>
        <w:t>T</w:t>
      </w:r>
      <w:r w:rsidRPr="00E116B6" w:rsidR="00F64392">
        <w:rPr>
          <w:lang w:val="en-GB"/>
        </w:rPr>
        <w:t xml:space="preserve">he Court </w:t>
      </w:r>
      <w:r w:rsidRPr="00E116B6" w:rsidR="00F3697B">
        <w:rPr>
          <w:lang w:val="en-GB"/>
        </w:rPr>
        <w:t xml:space="preserve">also </w:t>
      </w:r>
      <w:r w:rsidRPr="00E116B6" w:rsidR="00610493">
        <w:rPr>
          <w:lang w:val="en-GB"/>
        </w:rPr>
        <w:t>takes cognisance</w:t>
      </w:r>
      <w:r w:rsidRPr="00E116B6" w:rsidR="00E14A8B">
        <w:rPr>
          <w:lang w:val="en-GB"/>
        </w:rPr>
        <w:t xml:space="preserve"> </w:t>
      </w:r>
      <w:r w:rsidRPr="00E116B6" w:rsidR="00F64392">
        <w:rPr>
          <w:lang w:val="en-GB"/>
        </w:rPr>
        <w:t>of the fact that the UN Special Rapporteur</w:t>
      </w:r>
      <w:r w:rsidRPr="00E116B6" w:rsidR="00E14A8B">
        <w:rPr>
          <w:lang w:val="en-GB"/>
        </w:rPr>
        <w:t xml:space="preserve"> </w:t>
      </w:r>
      <w:r w:rsidRPr="00E116B6" w:rsidR="00F64392">
        <w:rPr>
          <w:lang w:val="en-GB"/>
        </w:rPr>
        <w:t xml:space="preserve">met a number of detained people, including the first applicant, </w:t>
      </w:r>
      <w:r w:rsidRPr="00E116B6" w:rsidR="00E14A8B">
        <w:rPr>
          <w:lang w:val="en-GB"/>
        </w:rPr>
        <w:t xml:space="preserve">and </w:t>
      </w:r>
      <w:r w:rsidRPr="00E116B6" w:rsidR="00F64392">
        <w:rPr>
          <w:lang w:val="en-GB"/>
        </w:rPr>
        <w:t xml:space="preserve">acknowledged, in general, </w:t>
      </w:r>
      <w:r w:rsidRPr="00E116B6" w:rsidR="009D7AC5">
        <w:rPr>
          <w:lang w:val="en-GB"/>
        </w:rPr>
        <w:t xml:space="preserve">that </w:t>
      </w:r>
      <w:r w:rsidRPr="00E116B6" w:rsidR="00F64392">
        <w:rPr>
          <w:lang w:val="en-GB"/>
        </w:rPr>
        <w:t>the</w:t>
      </w:r>
      <w:r w:rsidRPr="00E116B6" w:rsidR="009D7AC5">
        <w:rPr>
          <w:lang w:val="en-GB"/>
        </w:rPr>
        <w:t xml:space="preserve"> practice</w:t>
      </w:r>
      <w:r w:rsidRPr="00E116B6" w:rsidR="00F64392">
        <w:rPr>
          <w:lang w:val="en-GB"/>
        </w:rPr>
        <w:t xml:space="preserve"> </w:t>
      </w:r>
      <w:r w:rsidRPr="00E116B6" w:rsidR="009D7AC5">
        <w:rPr>
          <w:lang w:val="en-GB"/>
        </w:rPr>
        <w:t>of</w:t>
      </w:r>
      <w:r w:rsidRPr="00E116B6" w:rsidR="002A34AA">
        <w:rPr>
          <w:lang w:val="en-GB"/>
        </w:rPr>
        <w:t xml:space="preserve"> </w:t>
      </w:r>
      <w:r w:rsidRPr="00E116B6" w:rsidR="00F64392">
        <w:rPr>
          <w:lang w:val="en-GB"/>
        </w:rPr>
        <w:t xml:space="preserve">ill-treatment </w:t>
      </w:r>
      <w:r w:rsidRPr="00E116B6" w:rsidR="002A34AA">
        <w:rPr>
          <w:lang w:val="en-GB"/>
        </w:rPr>
        <w:t xml:space="preserve">of suspects and accused people </w:t>
      </w:r>
      <w:r w:rsidRPr="00E116B6" w:rsidR="00F64392">
        <w:rPr>
          <w:lang w:val="en-GB"/>
        </w:rPr>
        <w:t xml:space="preserve">by law enforcement officials as </w:t>
      </w:r>
      <w:r w:rsidRPr="00E116B6" w:rsidR="00E14A8B">
        <w:rPr>
          <w:lang w:val="en-GB"/>
        </w:rPr>
        <w:t xml:space="preserve">a </w:t>
      </w:r>
      <w:r w:rsidRPr="00E116B6" w:rsidR="00F64392">
        <w:rPr>
          <w:lang w:val="en-GB"/>
        </w:rPr>
        <w:t>means to obtain confessions</w:t>
      </w:r>
      <w:r w:rsidRPr="00E116B6" w:rsidR="009D7AC5">
        <w:rPr>
          <w:lang w:val="en-GB"/>
        </w:rPr>
        <w:t xml:space="preserve"> still existed in the country at the material time</w:t>
      </w:r>
      <w:r w:rsidRPr="00E116B6" w:rsidR="00F3697B">
        <w:rPr>
          <w:lang w:val="en-GB"/>
        </w:rPr>
        <w:t xml:space="preserve"> </w:t>
      </w:r>
      <w:r w:rsidRPr="00E116B6" w:rsidR="00F64392">
        <w:rPr>
          <w:lang w:val="en-GB"/>
        </w:rPr>
        <w:t>(see paragraphs</w:t>
      </w:r>
      <w:r w:rsidRPr="00E116B6" w:rsidR="00665943">
        <w:rPr>
          <w:lang w:val="en-GB"/>
        </w:rPr>
        <w:t> </w:t>
      </w:r>
      <w:r w:rsidRPr="00E116B6" w:rsidR="007161B2">
        <w:rPr>
          <w:lang w:val="en-GB"/>
        </w:rPr>
        <w:fldChar w:fldCharType="begin"/>
      </w:r>
      <w:r w:rsidRPr="00E116B6" w:rsidR="007161B2">
        <w:rPr>
          <w:lang w:val="en-GB"/>
        </w:rPr>
        <w:instrText xml:space="preserve"> REF UNstart \h </w:instrText>
      </w:r>
      <w:r w:rsidRPr="00E116B6" w:rsidR="007161B2">
        <w:rPr>
          <w:lang w:val="en-GB"/>
        </w:rPr>
      </w:r>
      <w:r w:rsidRPr="00E116B6" w:rsidR="007161B2">
        <w:rPr>
          <w:lang w:val="en-GB"/>
        </w:rPr>
        <w:fldChar w:fldCharType="separate"/>
      </w:r>
      <w:r w:rsidRPr="00E116B6" w:rsidR="00E116B6">
        <w:rPr>
          <w:rFonts w:eastAsiaTheme="minorHAnsi"/>
          <w:noProof/>
          <w:lang w:val="en-GB"/>
        </w:rPr>
        <w:t>87</w:t>
      </w:r>
      <w:r w:rsidRPr="00E116B6" w:rsidR="007161B2">
        <w:rPr>
          <w:lang w:val="en-GB"/>
        </w:rPr>
        <w:fldChar w:fldCharType="end"/>
      </w:r>
      <w:r w:rsidRPr="00E116B6" w:rsidR="00665943">
        <w:rPr>
          <w:lang w:val="en-GB"/>
        </w:rPr>
        <w:noBreakHyphen/>
      </w:r>
      <w:r w:rsidRPr="00E116B6" w:rsidR="007161B2">
        <w:rPr>
          <w:lang w:val="en-GB"/>
        </w:rPr>
        <w:fldChar w:fldCharType="begin"/>
      </w:r>
      <w:r w:rsidRPr="00E116B6" w:rsidR="007161B2">
        <w:rPr>
          <w:lang w:val="en-GB"/>
        </w:rPr>
        <w:instrText xml:space="preserve"> REF UNfinish \h </w:instrText>
      </w:r>
      <w:r w:rsidRPr="00E116B6" w:rsidR="007161B2">
        <w:rPr>
          <w:lang w:val="en-GB"/>
        </w:rPr>
      </w:r>
      <w:r w:rsidRPr="00E116B6" w:rsidR="007161B2">
        <w:rPr>
          <w:lang w:val="en-GB"/>
        </w:rPr>
        <w:fldChar w:fldCharType="separate"/>
      </w:r>
      <w:r w:rsidRPr="00E116B6" w:rsidR="00E116B6">
        <w:rPr>
          <w:rFonts w:eastAsiaTheme="minorHAnsi"/>
          <w:noProof/>
          <w:lang w:val="en-GB"/>
        </w:rPr>
        <w:t>89</w:t>
      </w:r>
      <w:r w:rsidRPr="00E116B6" w:rsidR="007161B2">
        <w:rPr>
          <w:lang w:val="en-GB"/>
        </w:rPr>
        <w:fldChar w:fldCharType="end"/>
      </w:r>
      <w:r w:rsidRPr="00E116B6" w:rsidR="007161B2">
        <w:rPr>
          <w:lang w:val="en-GB"/>
        </w:rPr>
        <w:t xml:space="preserve"> </w:t>
      </w:r>
      <w:r w:rsidRPr="00E116B6" w:rsidR="00F64392">
        <w:rPr>
          <w:lang w:val="en-GB"/>
        </w:rPr>
        <w:t xml:space="preserve">above, and compare, </w:t>
      </w:r>
      <w:r w:rsidRPr="00E116B6" w:rsidR="00F64392">
        <w:rPr>
          <w:i/>
          <w:lang w:val="en-GB"/>
        </w:rPr>
        <w:t>mutat</w:t>
      </w:r>
      <w:r w:rsidRPr="00E116B6" w:rsidR="00222C98">
        <w:rPr>
          <w:i/>
          <w:lang w:val="en-GB"/>
        </w:rPr>
        <w:t>is</w:t>
      </w:r>
      <w:r w:rsidRPr="00E116B6" w:rsidR="00F64392">
        <w:rPr>
          <w:i/>
          <w:lang w:val="en-GB"/>
        </w:rPr>
        <w:t xml:space="preserve"> mutandis</w:t>
      </w:r>
      <w:r w:rsidRPr="00E116B6" w:rsidR="00F64392">
        <w:rPr>
          <w:lang w:val="en-GB"/>
        </w:rPr>
        <w:t xml:space="preserve">, with </w:t>
      </w:r>
      <w:r w:rsidRPr="00E116B6" w:rsidR="00F64392">
        <w:rPr>
          <w:i/>
          <w:lang w:val="en-GB"/>
        </w:rPr>
        <w:t>Nechiporuk and Yonkalo</w:t>
      </w:r>
      <w:r w:rsidRPr="00E116B6" w:rsidR="00F64392">
        <w:rPr>
          <w:lang w:val="en-GB"/>
        </w:rPr>
        <w:t xml:space="preserve">, cited above, </w:t>
      </w:r>
      <w:r w:rsidRPr="00E116B6" w:rsidR="00F64392">
        <w:rPr>
          <w:rFonts w:cstheme="minorHAnsi"/>
          <w:lang w:val="en-GB"/>
        </w:rPr>
        <w:t>§</w:t>
      </w:r>
      <w:r w:rsidRPr="00E116B6" w:rsidR="0000400E">
        <w:rPr>
          <w:rFonts w:cstheme="minorHAnsi"/>
          <w:lang w:val="en-GB"/>
        </w:rPr>
        <w:t> </w:t>
      </w:r>
      <w:r w:rsidRPr="00E116B6" w:rsidR="00043995">
        <w:rPr>
          <w:lang w:val="en-GB"/>
        </w:rPr>
        <w:t>158</w:t>
      </w:r>
      <w:r w:rsidRPr="00E116B6" w:rsidR="002E009C">
        <w:rPr>
          <w:lang w:val="en-GB"/>
        </w:rPr>
        <w:t>;</w:t>
      </w:r>
      <w:r w:rsidRPr="00E116B6" w:rsidR="00043995">
        <w:rPr>
          <w:lang w:val="en-GB"/>
        </w:rPr>
        <w:t xml:space="preserve"> </w:t>
      </w:r>
      <w:r w:rsidRPr="00E116B6" w:rsidR="009F0DE4">
        <w:rPr>
          <w:i/>
          <w:lang w:val="en-GB"/>
        </w:rPr>
        <w:t>Tarasov v. Ukraine</w:t>
      </w:r>
      <w:r w:rsidRPr="00E116B6" w:rsidR="009F0DE4">
        <w:rPr>
          <w:lang w:val="en-GB"/>
        </w:rPr>
        <w:t>, no.</w:t>
      </w:r>
      <w:r w:rsidRPr="00E116B6" w:rsidR="00A05C4D">
        <w:rPr>
          <w:lang w:val="en-GB"/>
        </w:rPr>
        <w:t> </w:t>
      </w:r>
      <w:r w:rsidRPr="00E116B6" w:rsidR="009F0DE4">
        <w:rPr>
          <w:lang w:val="en-GB"/>
        </w:rPr>
        <w:t>17416/03</w:t>
      </w:r>
      <w:r w:rsidRPr="00E116B6" w:rsidR="009F0DE4">
        <w:rPr>
          <w:snapToGrid w:val="0"/>
          <w:lang w:val="en-GB"/>
        </w:rPr>
        <w:t xml:space="preserve">, § 63, </w:t>
      </w:r>
      <w:r w:rsidRPr="00E116B6" w:rsidR="009F0DE4">
        <w:rPr>
          <w:lang w:val="en-GB"/>
        </w:rPr>
        <w:t>31</w:t>
      </w:r>
      <w:r w:rsidRPr="00E116B6" w:rsidR="009F0DE4">
        <w:rPr>
          <w:snapToGrid w:val="0"/>
          <w:lang w:val="en-GB"/>
        </w:rPr>
        <w:t xml:space="preserve"> October 2013, and </w:t>
      </w:r>
      <w:r w:rsidRPr="00E116B6" w:rsidR="00043995">
        <w:rPr>
          <w:i/>
          <w:lang w:val="en-GB"/>
        </w:rPr>
        <w:t>Zamferesko v. Ukraine</w:t>
      </w:r>
      <w:r w:rsidRPr="00E116B6" w:rsidR="00043995">
        <w:rPr>
          <w:lang w:val="en-GB"/>
        </w:rPr>
        <w:t>, no.</w:t>
      </w:r>
      <w:r w:rsidRPr="00E116B6" w:rsidR="00A05C4D">
        <w:rPr>
          <w:lang w:val="en-GB"/>
        </w:rPr>
        <w:t> </w:t>
      </w:r>
      <w:r w:rsidRPr="00E116B6" w:rsidR="00043995">
        <w:rPr>
          <w:lang w:val="en-GB"/>
        </w:rPr>
        <w:t>30075/06</w:t>
      </w:r>
      <w:r w:rsidRPr="00E116B6" w:rsidR="00043995">
        <w:rPr>
          <w:snapToGrid w:val="0"/>
          <w:lang w:val="en-GB"/>
        </w:rPr>
        <w:t>, § 48, 15 November 2012</w:t>
      </w:r>
      <w:r w:rsidRPr="00E116B6" w:rsidR="00043995">
        <w:rPr>
          <w:lang w:val="en-GB"/>
        </w:rPr>
        <w:t>).</w:t>
      </w:r>
    </w:p>
    <w:p w:rsidRPr="00E116B6" w:rsidR="00AC1180" w:rsidP="00E116B6" w:rsidRDefault="001A66F4">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108</w:t>
      </w:r>
      <w:r w:rsidRPr="00E116B6">
        <w:rPr>
          <w:lang w:val="en-GB"/>
        </w:rPr>
        <w:fldChar w:fldCharType="end"/>
      </w:r>
      <w:r w:rsidRPr="00E116B6">
        <w:rPr>
          <w:lang w:val="en-GB"/>
        </w:rPr>
        <w:t>.  As regards the questi</w:t>
      </w:r>
      <w:r w:rsidRPr="00E116B6" w:rsidR="006555F4">
        <w:rPr>
          <w:lang w:val="en-GB"/>
        </w:rPr>
        <w:t xml:space="preserve">on </w:t>
      </w:r>
      <w:r w:rsidRPr="00E116B6">
        <w:rPr>
          <w:lang w:val="en-GB"/>
        </w:rPr>
        <w:t>of whether the criminal investigati</w:t>
      </w:r>
      <w:r w:rsidRPr="00E116B6" w:rsidR="006555F4">
        <w:rPr>
          <w:lang w:val="en-GB"/>
        </w:rPr>
        <w:t xml:space="preserve">on </w:t>
      </w:r>
      <w:r w:rsidRPr="00E116B6">
        <w:rPr>
          <w:lang w:val="en-GB"/>
        </w:rPr>
        <w:t>conducted by the domestic authorities could be said to have been adequate, the Court first reiterates its finding about the relevant authorities</w:t>
      </w:r>
      <w:r w:rsidRPr="00E116B6" w:rsidR="00E116B6">
        <w:rPr>
          <w:lang w:val="en-GB"/>
        </w:rPr>
        <w:t>’</w:t>
      </w:r>
      <w:r w:rsidRPr="00E116B6">
        <w:rPr>
          <w:lang w:val="en-GB"/>
        </w:rPr>
        <w:t xml:space="preserve"> unexplained omissi</w:t>
      </w:r>
      <w:r w:rsidRPr="00E116B6" w:rsidR="006555F4">
        <w:rPr>
          <w:lang w:val="en-GB"/>
        </w:rPr>
        <w:t xml:space="preserve">on </w:t>
      </w:r>
      <w:r w:rsidRPr="00E116B6" w:rsidR="00E14A8B">
        <w:rPr>
          <w:lang w:val="en-GB"/>
        </w:rPr>
        <w:t xml:space="preserve">in failing </w:t>
      </w:r>
      <w:r w:rsidRPr="00E116B6">
        <w:rPr>
          <w:lang w:val="en-GB"/>
        </w:rPr>
        <w:t xml:space="preserve">to arrange for </w:t>
      </w:r>
      <w:r w:rsidRPr="00E116B6" w:rsidR="002E009C">
        <w:rPr>
          <w:lang w:val="en-GB"/>
        </w:rPr>
        <w:t>an examinati</w:t>
      </w:r>
      <w:r w:rsidRPr="00E116B6" w:rsidR="006555F4">
        <w:rPr>
          <w:lang w:val="en-GB"/>
        </w:rPr>
        <w:t xml:space="preserve">on </w:t>
      </w:r>
      <w:r w:rsidRPr="00E116B6" w:rsidR="002E009C">
        <w:rPr>
          <w:lang w:val="en-GB"/>
        </w:rPr>
        <w:t xml:space="preserve">of </w:t>
      </w:r>
      <w:r w:rsidRPr="00E116B6">
        <w:rPr>
          <w:lang w:val="en-GB"/>
        </w:rPr>
        <w:t>the app</w:t>
      </w:r>
      <w:r w:rsidRPr="00E116B6" w:rsidR="00DF373A">
        <w:rPr>
          <w:lang w:val="en-GB"/>
        </w:rPr>
        <w:t>licant immediately after he had complained of the alleged ill-treatment</w:t>
      </w:r>
      <w:r w:rsidRPr="00E116B6" w:rsidR="00222C98">
        <w:rPr>
          <w:lang w:val="en-GB"/>
        </w:rPr>
        <w:t xml:space="preserve"> (see </w:t>
      </w:r>
      <w:r w:rsidRPr="00E116B6" w:rsidR="00B36B9D">
        <w:rPr>
          <w:lang w:val="en-GB"/>
        </w:rPr>
        <w:t xml:space="preserve">the preceding </w:t>
      </w:r>
      <w:r w:rsidRPr="00E116B6" w:rsidR="00222C98">
        <w:rPr>
          <w:lang w:val="en-GB"/>
        </w:rPr>
        <w:t>paragraph)</w:t>
      </w:r>
      <w:r w:rsidRPr="00E116B6" w:rsidR="00DF373A">
        <w:rPr>
          <w:lang w:val="en-GB"/>
        </w:rPr>
        <w:t>. Th</w:t>
      </w:r>
      <w:r w:rsidRPr="00E116B6" w:rsidR="00AF2FB1">
        <w:rPr>
          <w:lang w:val="en-GB"/>
        </w:rPr>
        <w:t>at</w:t>
      </w:r>
      <w:r w:rsidRPr="00E116B6" w:rsidR="00DF373A">
        <w:rPr>
          <w:lang w:val="en-GB"/>
        </w:rPr>
        <w:t xml:space="preserve"> particular shortcoming undoubtedly </w:t>
      </w:r>
      <w:r w:rsidRPr="00E116B6" w:rsidR="002E009C">
        <w:rPr>
          <w:lang w:val="en-GB"/>
        </w:rPr>
        <w:t xml:space="preserve">has </w:t>
      </w:r>
      <w:r w:rsidRPr="00E116B6" w:rsidR="00DF373A">
        <w:rPr>
          <w:lang w:val="en-GB"/>
        </w:rPr>
        <w:t>damaging implication</w:t>
      </w:r>
      <w:r w:rsidRPr="00E116B6" w:rsidR="002E009C">
        <w:rPr>
          <w:lang w:val="en-GB"/>
        </w:rPr>
        <w:t>s</w:t>
      </w:r>
      <w:r w:rsidRPr="00E116B6" w:rsidR="00DF373A">
        <w:rPr>
          <w:lang w:val="en-GB"/>
        </w:rPr>
        <w:t xml:space="preserve"> for both the substantive and procedural limbs of </w:t>
      </w:r>
      <w:r w:rsidRPr="00E116B6" w:rsidR="002E009C">
        <w:rPr>
          <w:lang w:val="en-GB"/>
        </w:rPr>
        <w:t xml:space="preserve">the </w:t>
      </w:r>
      <w:r w:rsidRPr="00E116B6" w:rsidR="00DF373A">
        <w:rPr>
          <w:lang w:val="en-GB"/>
        </w:rPr>
        <w:t>respondent State</w:t>
      </w:r>
      <w:r w:rsidRPr="00E116B6" w:rsidR="00E116B6">
        <w:rPr>
          <w:lang w:val="en-GB"/>
        </w:rPr>
        <w:t>’</w:t>
      </w:r>
      <w:r w:rsidRPr="00E116B6" w:rsidR="00DF373A">
        <w:rPr>
          <w:lang w:val="en-GB"/>
        </w:rPr>
        <w:t xml:space="preserve">s international obligations under Article 3 of the Convention. Secondly, the Court finds it difficult to understand why the first applicant, despite having complained of a </w:t>
      </w:r>
      <w:r w:rsidRPr="00E116B6" w:rsidR="00BC15FF">
        <w:rPr>
          <w:lang w:val="en-GB"/>
        </w:rPr>
        <w:t>serious</w:t>
      </w:r>
      <w:r w:rsidRPr="00E116B6" w:rsidR="00DF373A">
        <w:rPr>
          <w:lang w:val="en-GB"/>
        </w:rPr>
        <w:t xml:space="preserve"> criminal offence against him, was never </w:t>
      </w:r>
      <w:r w:rsidRPr="00E116B6" w:rsidR="00F33085">
        <w:rPr>
          <w:lang w:val="en-GB"/>
        </w:rPr>
        <w:t xml:space="preserve">declared </w:t>
      </w:r>
      <w:r w:rsidRPr="00E116B6" w:rsidR="00BC15FF">
        <w:rPr>
          <w:lang w:val="en-GB"/>
        </w:rPr>
        <w:t>a</w:t>
      </w:r>
      <w:r w:rsidRPr="00E116B6" w:rsidR="00F33085">
        <w:rPr>
          <w:lang w:val="en-GB"/>
        </w:rPr>
        <w:t xml:space="preserve"> victim</w:t>
      </w:r>
      <w:r w:rsidRPr="00E116B6" w:rsidR="00DF373A">
        <w:rPr>
          <w:lang w:val="en-GB"/>
        </w:rPr>
        <w:t xml:space="preserve"> in the course of </w:t>
      </w:r>
      <w:r w:rsidRPr="00E116B6" w:rsidR="00F33085">
        <w:rPr>
          <w:lang w:val="en-GB"/>
        </w:rPr>
        <w:t xml:space="preserve">the </w:t>
      </w:r>
      <w:r w:rsidRPr="00E116B6" w:rsidR="00DF373A">
        <w:rPr>
          <w:lang w:val="en-GB"/>
        </w:rPr>
        <w:t>ensuing criminal investigation. He thus could not benefit from the exercise of a number of major procedural rights pertaining to that status</w:t>
      </w:r>
      <w:r w:rsidRPr="00E116B6" w:rsidR="00BC15FF">
        <w:rPr>
          <w:lang w:val="en-GB"/>
        </w:rPr>
        <w:t xml:space="preserve"> (see </w:t>
      </w:r>
      <w:r w:rsidRPr="00E116B6" w:rsidR="00B36B9D">
        <w:rPr>
          <w:lang w:val="en-GB"/>
        </w:rPr>
        <w:t>Article 69 of the CCP cited at</w:t>
      </w:r>
      <w:r w:rsidRPr="00E116B6" w:rsidR="007161B2">
        <w:rPr>
          <w:lang w:val="en-GB"/>
        </w:rPr>
        <w:t xml:space="preserve"> paragraph </w:t>
      </w:r>
      <w:r w:rsidRPr="00E116B6" w:rsidR="007161B2">
        <w:rPr>
          <w:lang w:val="en-GB"/>
        </w:rPr>
        <w:fldChar w:fldCharType="begin"/>
      </w:r>
      <w:r w:rsidRPr="00E116B6" w:rsidR="007161B2">
        <w:rPr>
          <w:lang w:val="en-GB"/>
        </w:rPr>
        <w:instrText xml:space="preserve"> REF victimstatus \h </w:instrText>
      </w:r>
      <w:r w:rsidRPr="00E116B6" w:rsidR="007161B2">
        <w:rPr>
          <w:lang w:val="en-GB"/>
        </w:rPr>
      </w:r>
      <w:r w:rsidRPr="00E116B6" w:rsidR="007161B2">
        <w:rPr>
          <w:lang w:val="en-GB"/>
        </w:rPr>
        <w:fldChar w:fldCharType="separate"/>
      </w:r>
      <w:r w:rsidRPr="00E116B6" w:rsidR="00E116B6">
        <w:rPr>
          <w:noProof/>
          <w:lang w:val="en-GB"/>
        </w:rPr>
        <w:t>86</w:t>
      </w:r>
      <w:r w:rsidRPr="00E116B6" w:rsidR="007161B2">
        <w:rPr>
          <w:lang w:val="en-GB"/>
        </w:rPr>
        <w:fldChar w:fldCharType="end"/>
      </w:r>
      <w:r w:rsidRPr="00E116B6" w:rsidR="007161B2">
        <w:rPr>
          <w:lang w:val="en-GB"/>
        </w:rPr>
        <w:t xml:space="preserve"> above</w:t>
      </w:r>
      <w:r w:rsidRPr="00E116B6" w:rsidR="00BC15FF">
        <w:rPr>
          <w:lang w:val="en-GB"/>
        </w:rPr>
        <w:t>)</w:t>
      </w:r>
      <w:r w:rsidRPr="00E116B6" w:rsidR="00DF373A">
        <w:rPr>
          <w:lang w:val="en-GB"/>
        </w:rPr>
        <w:t xml:space="preserve">, without which he was </w:t>
      </w:r>
      <w:r w:rsidRPr="00E116B6" w:rsidR="00F3697B">
        <w:rPr>
          <w:lang w:val="en-GB"/>
        </w:rPr>
        <w:t xml:space="preserve">unable </w:t>
      </w:r>
      <w:r w:rsidRPr="00E116B6" w:rsidR="00DF373A">
        <w:rPr>
          <w:lang w:val="en-GB"/>
        </w:rPr>
        <w:t xml:space="preserve">to participate </w:t>
      </w:r>
      <w:r w:rsidRPr="00E116B6" w:rsidR="00BC15FF">
        <w:rPr>
          <w:lang w:val="en-GB"/>
        </w:rPr>
        <w:t>in the investigati</w:t>
      </w:r>
      <w:r w:rsidRPr="00E116B6" w:rsidR="006555F4">
        <w:rPr>
          <w:lang w:val="en-GB"/>
        </w:rPr>
        <w:t xml:space="preserve">on </w:t>
      </w:r>
      <w:r w:rsidRPr="00E116B6" w:rsidR="00BC15FF">
        <w:rPr>
          <w:lang w:val="en-GB"/>
        </w:rPr>
        <w:t xml:space="preserve">(see </w:t>
      </w:r>
      <w:r w:rsidRPr="00E116B6" w:rsidR="00DF373A">
        <w:rPr>
          <w:i/>
          <w:lang w:val="en-GB"/>
        </w:rPr>
        <w:t>Denis Vasilyev v.</w:t>
      </w:r>
      <w:r w:rsidRPr="00E116B6" w:rsidR="0000400E">
        <w:rPr>
          <w:i/>
          <w:lang w:val="en-GB"/>
        </w:rPr>
        <w:t> </w:t>
      </w:r>
      <w:r w:rsidRPr="00E116B6" w:rsidR="00DF373A">
        <w:rPr>
          <w:i/>
          <w:lang w:val="en-GB"/>
        </w:rPr>
        <w:t>Russia</w:t>
      </w:r>
      <w:r w:rsidRPr="00E116B6" w:rsidR="00DF373A">
        <w:rPr>
          <w:lang w:val="en-GB"/>
        </w:rPr>
        <w:t xml:space="preserve">, no. </w:t>
      </w:r>
      <w:hyperlink w:tgtFrame="_blank" w:history="1" w:anchor="{&quot;appno&quot;:[&quot;32704/04&quot;]}" r:id="rId14">
        <w:r w:rsidRPr="00E116B6" w:rsidR="00DF373A">
          <w:rPr>
            <w:lang w:val="en-GB"/>
          </w:rPr>
          <w:t>32704/04</w:t>
        </w:r>
      </w:hyperlink>
      <w:r w:rsidRPr="00E116B6" w:rsidR="00BD03AB">
        <w:rPr>
          <w:lang w:val="en-GB"/>
        </w:rPr>
        <w:t>, § </w:t>
      </w:r>
      <w:r w:rsidRPr="00E116B6" w:rsidR="00BC15FF">
        <w:rPr>
          <w:lang w:val="en-GB"/>
        </w:rPr>
        <w:t>126, 17</w:t>
      </w:r>
      <w:r w:rsidRPr="00E116B6" w:rsidR="00A05C4D">
        <w:rPr>
          <w:lang w:val="en-GB"/>
        </w:rPr>
        <w:t> </w:t>
      </w:r>
      <w:r w:rsidRPr="00E116B6" w:rsidR="00BC15FF">
        <w:rPr>
          <w:lang w:val="en-GB"/>
        </w:rPr>
        <w:t xml:space="preserve">December 2009). </w:t>
      </w:r>
      <w:r w:rsidRPr="00E116B6" w:rsidR="00BF3C5E">
        <w:rPr>
          <w:lang w:val="en-GB"/>
        </w:rPr>
        <w:t xml:space="preserve">The domestic courts acknowledged themselves in December 2004 and February 2005 </w:t>
      </w:r>
      <w:r w:rsidRPr="00E116B6" w:rsidR="00F33085">
        <w:rPr>
          <w:lang w:val="en-GB"/>
        </w:rPr>
        <w:t>that the criminal investigati</w:t>
      </w:r>
      <w:r w:rsidRPr="00E116B6" w:rsidR="006555F4">
        <w:rPr>
          <w:lang w:val="en-GB"/>
        </w:rPr>
        <w:t xml:space="preserve">on </w:t>
      </w:r>
      <w:r w:rsidRPr="00E116B6" w:rsidR="00F33085">
        <w:rPr>
          <w:lang w:val="en-GB"/>
        </w:rPr>
        <w:t>into the applicant</w:t>
      </w:r>
      <w:r w:rsidRPr="00E116B6" w:rsidR="00E116B6">
        <w:rPr>
          <w:lang w:val="en-GB"/>
        </w:rPr>
        <w:t>’</w:t>
      </w:r>
      <w:r w:rsidRPr="00E116B6" w:rsidR="00F33085">
        <w:rPr>
          <w:lang w:val="en-GB"/>
        </w:rPr>
        <w:t>s allegations of ill-trea</w:t>
      </w:r>
      <w:r w:rsidRPr="00E116B6" w:rsidR="00BC15FF">
        <w:rPr>
          <w:lang w:val="en-GB"/>
        </w:rPr>
        <w:t>t</w:t>
      </w:r>
      <w:r w:rsidRPr="00E116B6" w:rsidR="00F33085">
        <w:rPr>
          <w:lang w:val="en-GB"/>
        </w:rPr>
        <w:t xml:space="preserve">ment </w:t>
      </w:r>
      <w:r w:rsidRPr="00E116B6" w:rsidR="002E009C">
        <w:rPr>
          <w:lang w:val="en-GB"/>
        </w:rPr>
        <w:t xml:space="preserve">had been </w:t>
      </w:r>
      <w:r w:rsidRPr="00E116B6" w:rsidR="00F33085">
        <w:rPr>
          <w:lang w:val="en-GB"/>
        </w:rPr>
        <w:t xml:space="preserve">defective and that there was </w:t>
      </w:r>
      <w:r w:rsidRPr="00E116B6" w:rsidR="00BC15FF">
        <w:rPr>
          <w:lang w:val="en-GB"/>
        </w:rPr>
        <w:t>a</w:t>
      </w:r>
      <w:r w:rsidRPr="00E116B6" w:rsidR="00F33085">
        <w:rPr>
          <w:lang w:val="en-GB"/>
        </w:rPr>
        <w:t xml:space="preserve"> need for </w:t>
      </w:r>
      <w:r w:rsidRPr="00E116B6" w:rsidR="002E009C">
        <w:rPr>
          <w:lang w:val="en-GB"/>
        </w:rPr>
        <w:t xml:space="preserve">another </w:t>
      </w:r>
      <w:r w:rsidRPr="00E116B6" w:rsidR="00F33085">
        <w:rPr>
          <w:lang w:val="en-GB"/>
        </w:rPr>
        <w:t>investigation</w:t>
      </w:r>
      <w:r w:rsidRPr="00E116B6" w:rsidR="00AD5ABE">
        <w:rPr>
          <w:lang w:val="en-GB"/>
        </w:rPr>
        <w:t xml:space="preserve">. However, despite the clear </w:t>
      </w:r>
      <w:r w:rsidRPr="00E116B6" w:rsidR="00F33085">
        <w:rPr>
          <w:lang w:val="en-GB"/>
        </w:rPr>
        <w:t>instruction</w:t>
      </w:r>
      <w:r w:rsidRPr="00E116B6" w:rsidR="002E009C">
        <w:rPr>
          <w:lang w:val="en-GB"/>
        </w:rPr>
        <w:t>s</w:t>
      </w:r>
      <w:r w:rsidRPr="00E116B6" w:rsidR="00F33085">
        <w:rPr>
          <w:lang w:val="en-GB"/>
        </w:rPr>
        <w:t xml:space="preserve"> </w:t>
      </w:r>
      <w:r w:rsidRPr="00E116B6" w:rsidR="00564F0E">
        <w:rPr>
          <w:lang w:val="en-GB"/>
        </w:rPr>
        <w:t xml:space="preserve">of the courts </w:t>
      </w:r>
      <w:r w:rsidRPr="00E116B6" w:rsidR="00F33085">
        <w:rPr>
          <w:lang w:val="en-GB"/>
        </w:rPr>
        <w:t>to</w:t>
      </w:r>
      <w:r w:rsidRPr="00E116B6" w:rsidR="00AD5ABE">
        <w:rPr>
          <w:lang w:val="en-GB"/>
        </w:rPr>
        <w:t xml:space="preserve"> </w:t>
      </w:r>
      <w:r w:rsidRPr="00E116B6" w:rsidR="00BF3C5E">
        <w:rPr>
          <w:lang w:val="en-GB"/>
        </w:rPr>
        <w:t xml:space="preserve">carry out </w:t>
      </w:r>
      <w:r w:rsidRPr="00E116B6" w:rsidR="00AD5ABE">
        <w:rPr>
          <w:lang w:val="en-GB"/>
        </w:rPr>
        <w:t>an adequate investigati</w:t>
      </w:r>
      <w:r w:rsidRPr="00E116B6" w:rsidR="006555F4">
        <w:rPr>
          <w:lang w:val="en-GB"/>
        </w:rPr>
        <w:t xml:space="preserve">on </w:t>
      </w:r>
      <w:r w:rsidRPr="00E116B6" w:rsidR="00AD5ABE">
        <w:rPr>
          <w:lang w:val="en-GB"/>
        </w:rPr>
        <w:t xml:space="preserve">into the </w:t>
      </w:r>
      <w:r w:rsidRPr="00E116B6" w:rsidR="009D7AC5">
        <w:rPr>
          <w:lang w:val="en-GB"/>
        </w:rPr>
        <w:t>allegations of ill</w:t>
      </w:r>
      <w:r w:rsidRPr="00E116B6" w:rsidR="00A05C4D">
        <w:rPr>
          <w:lang w:val="en-GB"/>
        </w:rPr>
        <w:noBreakHyphen/>
      </w:r>
      <w:r w:rsidRPr="00E116B6" w:rsidR="009D7AC5">
        <w:rPr>
          <w:lang w:val="en-GB"/>
        </w:rPr>
        <w:t>treatment</w:t>
      </w:r>
      <w:r w:rsidRPr="00E116B6" w:rsidR="00AD5ABE">
        <w:rPr>
          <w:lang w:val="en-GB"/>
        </w:rPr>
        <w:t xml:space="preserve">, it does not </w:t>
      </w:r>
      <w:r w:rsidRPr="00E116B6" w:rsidR="002E009C">
        <w:rPr>
          <w:lang w:val="en-GB"/>
        </w:rPr>
        <w:t xml:space="preserve">appear </w:t>
      </w:r>
      <w:r w:rsidRPr="00E116B6" w:rsidR="00AD5ABE">
        <w:rPr>
          <w:lang w:val="en-GB"/>
        </w:rPr>
        <w:t xml:space="preserve">from the case file that any definite results </w:t>
      </w:r>
      <w:r w:rsidRPr="00E116B6" w:rsidR="00BC15FF">
        <w:rPr>
          <w:lang w:val="en-GB"/>
        </w:rPr>
        <w:t>have ever been</w:t>
      </w:r>
      <w:r w:rsidRPr="00E116B6" w:rsidR="00AD5ABE">
        <w:rPr>
          <w:lang w:val="en-GB"/>
        </w:rPr>
        <w:t xml:space="preserve"> reached by the investigative authorities, with the relevant criminal proceedings </w:t>
      </w:r>
      <w:r w:rsidRPr="00E116B6" w:rsidR="00BC15FF">
        <w:rPr>
          <w:lang w:val="en-GB"/>
        </w:rPr>
        <w:t xml:space="preserve">currently still </w:t>
      </w:r>
      <w:r w:rsidRPr="00E116B6" w:rsidR="00AF2FB1">
        <w:rPr>
          <w:lang w:val="en-GB"/>
        </w:rPr>
        <w:t>ongoing</w:t>
      </w:r>
      <w:r w:rsidRPr="00E116B6" w:rsidR="00AD5ABE">
        <w:rPr>
          <w:lang w:val="en-GB"/>
        </w:rPr>
        <w:t xml:space="preserve"> (</w:t>
      </w:r>
      <w:r w:rsidRPr="00E116B6" w:rsidR="00F76F58">
        <w:rPr>
          <w:lang w:val="en-GB"/>
        </w:rPr>
        <w:t xml:space="preserve">see paragraph </w:t>
      </w:r>
      <w:r w:rsidRPr="00E116B6" w:rsidR="00F76F58">
        <w:rPr>
          <w:lang w:val="en-GB"/>
        </w:rPr>
        <w:fldChar w:fldCharType="begin"/>
      </w:r>
      <w:r w:rsidRPr="00E116B6" w:rsidR="00F76F58">
        <w:rPr>
          <w:lang w:val="en-GB"/>
        </w:rPr>
        <w:instrText xml:space="preserve"> REF ongoing \h </w:instrText>
      </w:r>
      <w:r w:rsidRPr="00E116B6" w:rsidR="00F76F58">
        <w:rPr>
          <w:lang w:val="en-GB"/>
        </w:rPr>
      </w:r>
      <w:r w:rsidRPr="00E116B6" w:rsidR="00F76F58">
        <w:rPr>
          <w:lang w:val="en-GB"/>
        </w:rPr>
        <w:fldChar w:fldCharType="separate"/>
      </w:r>
      <w:r w:rsidRPr="00E116B6" w:rsidR="00E116B6">
        <w:rPr>
          <w:noProof/>
          <w:lang w:val="en-GB"/>
        </w:rPr>
        <w:t>57</w:t>
      </w:r>
      <w:r w:rsidRPr="00E116B6" w:rsidR="00F76F58">
        <w:rPr>
          <w:lang w:val="en-GB"/>
        </w:rPr>
        <w:fldChar w:fldCharType="end"/>
      </w:r>
      <w:r w:rsidRPr="00E116B6" w:rsidR="00F76F58">
        <w:rPr>
          <w:lang w:val="en-GB"/>
        </w:rPr>
        <w:t xml:space="preserve"> above</w:t>
      </w:r>
      <w:r w:rsidRPr="00E116B6" w:rsidR="00AD5ABE">
        <w:rPr>
          <w:lang w:val="en-GB"/>
        </w:rPr>
        <w:t>).</w:t>
      </w:r>
    </w:p>
    <w:bookmarkStart w:name="breachart3" w:id="48"/>
    <w:p w:rsidRPr="00E116B6" w:rsidR="000809BA" w:rsidP="00E116B6" w:rsidRDefault="00F33085">
      <w:pPr>
        <w:pStyle w:val="ECHRPara"/>
        <w:rPr>
          <w:i/>
          <w:iCs/>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109</w:t>
      </w:r>
      <w:r w:rsidRPr="00E116B6">
        <w:rPr>
          <w:lang w:val="en-GB"/>
        </w:rPr>
        <w:fldChar w:fldCharType="end"/>
      </w:r>
      <w:bookmarkEnd w:id="48"/>
      <w:r w:rsidRPr="00E116B6">
        <w:rPr>
          <w:lang w:val="en-GB"/>
        </w:rPr>
        <w:t>.  </w:t>
      </w:r>
      <w:r w:rsidRPr="00E116B6" w:rsidR="00E4047F">
        <w:rPr>
          <w:lang w:val="en-GB"/>
        </w:rPr>
        <w:t>All in all</w:t>
      </w:r>
      <w:r w:rsidRPr="00E116B6" w:rsidR="00AD5ABE">
        <w:rPr>
          <w:lang w:val="en-GB"/>
        </w:rPr>
        <w:t>, the Court finds it sufficiently established that</w:t>
      </w:r>
      <w:r w:rsidRPr="00E116B6" w:rsidR="0098181B">
        <w:rPr>
          <w:lang w:val="en-GB"/>
        </w:rPr>
        <w:t xml:space="preserve"> the </w:t>
      </w:r>
      <w:r w:rsidRPr="00E116B6" w:rsidR="00405D60">
        <w:rPr>
          <w:lang w:val="en-GB"/>
        </w:rPr>
        <w:t xml:space="preserve">first </w:t>
      </w:r>
      <w:r w:rsidRPr="00E116B6" w:rsidR="0098181B">
        <w:rPr>
          <w:lang w:val="en-GB"/>
        </w:rPr>
        <w:t>applicant bore</w:t>
      </w:r>
      <w:r w:rsidRPr="00E116B6" w:rsidR="00405D60">
        <w:rPr>
          <w:lang w:val="en-GB"/>
        </w:rPr>
        <w:t xml:space="preserve"> </w:t>
      </w:r>
      <w:r w:rsidRPr="00E116B6" w:rsidR="006555F4">
        <w:rPr>
          <w:lang w:val="en-GB"/>
        </w:rPr>
        <w:t xml:space="preserve">on </w:t>
      </w:r>
      <w:r w:rsidRPr="00E116B6" w:rsidR="00405D60">
        <w:rPr>
          <w:lang w:val="en-GB"/>
        </w:rPr>
        <w:t>his pers</w:t>
      </w:r>
      <w:r w:rsidRPr="00E116B6" w:rsidR="006555F4">
        <w:rPr>
          <w:lang w:val="en-GB"/>
        </w:rPr>
        <w:t xml:space="preserve">on </w:t>
      </w:r>
      <w:r w:rsidRPr="00E116B6" w:rsidR="0098181B">
        <w:rPr>
          <w:lang w:val="en-GB"/>
        </w:rPr>
        <w:t xml:space="preserve">traces of </w:t>
      </w:r>
      <w:r w:rsidRPr="00E116B6" w:rsidR="00405D60">
        <w:rPr>
          <w:lang w:val="en-GB"/>
        </w:rPr>
        <w:t xml:space="preserve">the type of ill-treatment </w:t>
      </w:r>
      <w:r w:rsidRPr="00E116B6" w:rsidR="0098181B">
        <w:rPr>
          <w:lang w:val="en-GB"/>
        </w:rPr>
        <w:t xml:space="preserve">that he </w:t>
      </w:r>
      <w:r w:rsidRPr="00E116B6" w:rsidR="00405D60">
        <w:rPr>
          <w:lang w:val="en-GB"/>
        </w:rPr>
        <w:t xml:space="preserve">consistently described and </w:t>
      </w:r>
      <w:r w:rsidRPr="00E116B6" w:rsidR="0098181B">
        <w:rPr>
          <w:lang w:val="en-GB"/>
        </w:rPr>
        <w:t>complained of</w:t>
      </w:r>
      <w:r w:rsidRPr="00E116B6" w:rsidR="00BC15FF">
        <w:rPr>
          <w:lang w:val="en-GB"/>
        </w:rPr>
        <w:t xml:space="preserve"> at the national level</w:t>
      </w:r>
      <w:r w:rsidRPr="00E116B6" w:rsidR="0098181B">
        <w:rPr>
          <w:lang w:val="en-GB"/>
        </w:rPr>
        <w:t xml:space="preserve">. </w:t>
      </w:r>
      <w:r w:rsidRPr="00E116B6" w:rsidR="00BC15FF">
        <w:rPr>
          <w:lang w:val="en-GB"/>
        </w:rPr>
        <w:t>T</w:t>
      </w:r>
      <w:r w:rsidRPr="00E116B6" w:rsidR="00405D60">
        <w:rPr>
          <w:lang w:val="en-GB"/>
        </w:rPr>
        <w:t>he domestic a</w:t>
      </w:r>
      <w:r w:rsidRPr="00E116B6" w:rsidR="0098181B">
        <w:rPr>
          <w:lang w:val="en-GB"/>
        </w:rPr>
        <w:t>uthor</w:t>
      </w:r>
      <w:r w:rsidRPr="00E116B6" w:rsidR="00405D60">
        <w:rPr>
          <w:lang w:val="en-GB"/>
        </w:rPr>
        <w:t>i</w:t>
      </w:r>
      <w:r w:rsidRPr="00E116B6" w:rsidR="0098181B">
        <w:rPr>
          <w:lang w:val="en-GB"/>
        </w:rPr>
        <w:t xml:space="preserve">ties </w:t>
      </w:r>
      <w:r w:rsidRPr="00E116B6" w:rsidR="00E4047F">
        <w:rPr>
          <w:lang w:val="en-GB"/>
        </w:rPr>
        <w:t xml:space="preserve">clearly </w:t>
      </w:r>
      <w:r w:rsidRPr="00E116B6" w:rsidR="0098181B">
        <w:rPr>
          <w:lang w:val="en-GB"/>
        </w:rPr>
        <w:t xml:space="preserve">failed to conduct a </w:t>
      </w:r>
      <w:r w:rsidRPr="00E116B6" w:rsidR="00405D60">
        <w:rPr>
          <w:lang w:val="en-GB"/>
        </w:rPr>
        <w:t>thorough</w:t>
      </w:r>
      <w:r w:rsidRPr="00E116B6" w:rsidR="0098181B">
        <w:rPr>
          <w:lang w:val="en-GB"/>
        </w:rPr>
        <w:t xml:space="preserve"> and prompt investigati</w:t>
      </w:r>
      <w:r w:rsidRPr="00E116B6" w:rsidR="006555F4">
        <w:rPr>
          <w:lang w:val="en-GB"/>
        </w:rPr>
        <w:t xml:space="preserve">on </w:t>
      </w:r>
      <w:r w:rsidRPr="00E116B6" w:rsidR="00564F0E">
        <w:rPr>
          <w:lang w:val="en-GB"/>
        </w:rPr>
        <w:t xml:space="preserve">of </w:t>
      </w:r>
      <w:r w:rsidRPr="00E116B6" w:rsidR="00405D60">
        <w:rPr>
          <w:lang w:val="en-GB"/>
        </w:rPr>
        <w:t>his</w:t>
      </w:r>
      <w:r w:rsidRPr="00E116B6" w:rsidR="0098181B">
        <w:rPr>
          <w:lang w:val="en-GB"/>
        </w:rPr>
        <w:t xml:space="preserve"> complaints</w:t>
      </w:r>
      <w:r w:rsidRPr="00E116B6" w:rsidR="00E4047F">
        <w:rPr>
          <w:lang w:val="en-GB"/>
        </w:rPr>
        <w:t xml:space="preserve"> (see the preceding paragraph)</w:t>
      </w:r>
      <w:r w:rsidRPr="00E116B6" w:rsidR="00BC15FF">
        <w:rPr>
          <w:lang w:val="en-GB"/>
        </w:rPr>
        <w:t>,</w:t>
      </w:r>
      <w:r w:rsidRPr="00E116B6" w:rsidR="00405D60">
        <w:rPr>
          <w:lang w:val="en-GB"/>
        </w:rPr>
        <w:t xml:space="preserve"> and the Government did not </w:t>
      </w:r>
      <w:r w:rsidRPr="00E116B6" w:rsidR="00E4047F">
        <w:rPr>
          <w:lang w:val="en-GB"/>
        </w:rPr>
        <w:t xml:space="preserve">even </w:t>
      </w:r>
      <w:r w:rsidRPr="00E116B6" w:rsidR="00405D60">
        <w:rPr>
          <w:lang w:val="en-GB"/>
        </w:rPr>
        <w:t>attempt to provide an alternative</w:t>
      </w:r>
      <w:r w:rsidRPr="00E116B6" w:rsidR="00BF3C5E">
        <w:rPr>
          <w:lang w:val="en-GB"/>
        </w:rPr>
        <w:t xml:space="preserve">, </w:t>
      </w:r>
      <w:r w:rsidRPr="00E116B6" w:rsidR="00405D60">
        <w:rPr>
          <w:lang w:val="en-GB"/>
        </w:rPr>
        <w:t>plausible explanati</w:t>
      </w:r>
      <w:r w:rsidRPr="00E116B6" w:rsidR="006555F4">
        <w:rPr>
          <w:lang w:val="en-GB"/>
        </w:rPr>
        <w:t xml:space="preserve">on </w:t>
      </w:r>
      <w:r w:rsidRPr="00E116B6" w:rsidR="00BF3C5E">
        <w:rPr>
          <w:lang w:val="en-GB"/>
        </w:rPr>
        <w:t xml:space="preserve">for </w:t>
      </w:r>
      <w:r w:rsidRPr="00E116B6" w:rsidR="00405D60">
        <w:rPr>
          <w:lang w:val="en-GB"/>
        </w:rPr>
        <w:t>the origins of those traces</w:t>
      </w:r>
      <w:r w:rsidRPr="00E116B6" w:rsidR="00BC15FF">
        <w:rPr>
          <w:lang w:val="en-GB"/>
        </w:rPr>
        <w:t xml:space="preserve"> of ill-treatment. In such circumstances,</w:t>
      </w:r>
      <w:r w:rsidRPr="00E116B6" w:rsidR="00405D60">
        <w:rPr>
          <w:lang w:val="en-GB"/>
        </w:rPr>
        <w:t xml:space="preserve"> the Court, bearing in mind the authorities</w:t>
      </w:r>
      <w:r w:rsidRPr="00E116B6" w:rsidR="00E116B6">
        <w:rPr>
          <w:lang w:val="en-GB"/>
        </w:rPr>
        <w:t>’</w:t>
      </w:r>
      <w:r w:rsidRPr="00E116B6" w:rsidR="00405D60">
        <w:rPr>
          <w:lang w:val="en-GB"/>
        </w:rPr>
        <w:t xml:space="preserve"> obligati</w:t>
      </w:r>
      <w:r w:rsidRPr="00E116B6" w:rsidR="006555F4">
        <w:rPr>
          <w:lang w:val="en-GB"/>
        </w:rPr>
        <w:t xml:space="preserve">on </w:t>
      </w:r>
      <w:r w:rsidRPr="00E116B6" w:rsidR="00405D60">
        <w:rPr>
          <w:lang w:val="en-GB"/>
        </w:rPr>
        <w:t>to account for injuries caused to persons within their control in custody</w:t>
      </w:r>
      <w:r w:rsidRPr="00E116B6" w:rsidR="000F7E80">
        <w:rPr>
          <w:lang w:val="en-GB"/>
        </w:rPr>
        <w:t xml:space="preserve"> </w:t>
      </w:r>
      <w:r w:rsidRPr="00E116B6" w:rsidR="00E4047F">
        <w:rPr>
          <w:lang w:val="en-GB"/>
        </w:rPr>
        <w:t xml:space="preserve">(see </w:t>
      </w:r>
      <w:r w:rsidRPr="00E116B6" w:rsidR="00E4047F">
        <w:rPr>
          <w:i/>
          <w:lang w:val="en-GB"/>
        </w:rPr>
        <w:t>Shlychkov v. Russia</w:t>
      </w:r>
      <w:r w:rsidRPr="00E116B6" w:rsidR="00E4047F">
        <w:rPr>
          <w:lang w:val="en-GB"/>
        </w:rPr>
        <w:t>, no. 40852/05</w:t>
      </w:r>
      <w:r w:rsidRPr="00E116B6" w:rsidR="00E4047F">
        <w:rPr>
          <w:snapToGrid w:val="0"/>
          <w:lang w:val="en-GB"/>
        </w:rPr>
        <w:t xml:space="preserve">, § 68, 9 February 2016, and </w:t>
      </w:r>
      <w:r w:rsidRPr="00E116B6" w:rsidR="00E4047F">
        <w:rPr>
          <w:i/>
          <w:lang w:val="en-GB"/>
        </w:rPr>
        <w:t>Ryabtsev v. Russia</w:t>
      </w:r>
      <w:r w:rsidRPr="00E116B6" w:rsidR="00E4047F">
        <w:rPr>
          <w:snapToGrid w:val="0"/>
          <w:lang w:val="en-GB"/>
        </w:rPr>
        <w:t xml:space="preserve">, </w:t>
      </w:r>
      <w:r w:rsidRPr="00E116B6" w:rsidR="00E4047F">
        <w:rPr>
          <w:lang w:val="en-GB"/>
        </w:rPr>
        <w:t>no. 13642/06,</w:t>
      </w:r>
      <w:r w:rsidRPr="00E116B6" w:rsidR="00E4047F">
        <w:rPr>
          <w:snapToGrid w:val="0"/>
          <w:lang w:val="en-GB"/>
        </w:rPr>
        <w:t xml:space="preserve"> § 71, 14 November 2013</w:t>
      </w:r>
      <w:r w:rsidRPr="00E116B6" w:rsidR="000F7E80">
        <w:rPr>
          <w:snapToGrid w:val="0"/>
          <w:lang w:val="en-GB"/>
        </w:rPr>
        <w:t xml:space="preserve">), </w:t>
      </w:r>
      <w:r w:rsidRPr="00E116B6" w:rsidR="00BC15FF">
        <w:rPr>
          <w:snapToGrid w:val="0"/>
          <w:lang w:val="en-GB"/>
        </w:rPr>
        <w:t>finds it to have been proved beyond a reasonable doubt</w:t>
      </w:r>
      <w:r w:rsidRPr="00E116B6" w:rsidR="000F7E80">
        <w:rPr>
          <w:snapToGrid w:val="0"/>
          <w:lang w:val="en-GB"/>
        </w:rPr>
        <w:t xml:space="preserve"> that the first applicant </w:t>
      </w:r>
      <w:r w:rsidRPr="00E116B6" w:rsidR="00BC15FF">
        <w:rPr>
          <w:snapToGrid w:val="0"/>
          <w:lang w:val="en-GB"/>
        </w:rPr>
        <w:t>was</w:t>
      </w:r>
      <w:r w:rsidRPr="00E116B6" w:rsidR="000F7E80">
        <w:rPr>
          <w:snapToGrid w:val="0"/>
          <w:lang w:val="en-GB"/>
        </w:rPr>
        <w:t xml:space="preserve"> subjected to police brutality </w:t>
      </w:r>
      <w:r w:rsidRPr="00E116B6" w:rsidR="00D33FB9">
        <w:rPr>
          <w:snapToGrid w:val="0"/>
          <w:lang w:val="en-GB"/>
        </w:rPr>
        <w:t xml:space="preserve">after </w:t>
      </w:r>
      <w:r w:rsidRPr="00E116B6" w:rsidR="000F7E80">
        <w:rPr>
          <w:snapToGrid w:val="0"/>
          <w:lang w:val="en-GB"/>
        </w:rPr>
        <w:t xml:space="preserve">his arrest </w:t>
      </w:r>
      <w:r w:rsidRPr="00E116B6" w:rsidR="006555F4">
        <w:rPr>
          <w:snapToGrid w:val="0"/>
          <w:lang w:val="en-GB"/>
        </w:rPr>
        <w:t xml:space="preserve">on </w:t>
      </w:r>
      <w:r w:rsidRPr="00E116B6" w:rsidR="000F7E80">
        <w:rPr>
          <w:snapToGrid w:val="0"/>
          <w:lang w:val="en-GB"/>
        </w:rPr>
        <w:t>13 May 2004</w:t>
      </w:r>
      <w:r w:rsidRPr="00E116B6" w:rsidR="00564F0E">
        <w:rPr>
          <w:snapToGrid w:val="0"/>
          <w:lang w:val="en-GB"/>
        </w:rPr>
        <w:t xml:space="preserve"> at </w:t>
      </w:r>
      <w:r w:rsidRPr="00E116B6" w:rsidR="000F7E80">
        <w:rPr>
          <w:snapToGrid w:val="0"/>
          <w:lang w:val="en-GB"/>
        </w:rPr>
        <w:t xml:space="preserve">Tbilisi police headquarters. </w:t>
      </w:r>
      <w:r w:rsidRPr="00E116B6" w:rsidR="00BC15FF">
        <w:rPr>
          <w:snapToGrid w:val="0"/>
          <w:lang w:val="en-GB"/>
        </w:rPr>
        <w:t>H</w:t>
      </w:r>
      <w:r w:rsidRPr="00E116B6" w:rsidR="000F7E80">
        <w:rPr>
          <w:snapToGrid w:val="0"/>
          <w:lang w:val="en-GB"/>
        </w:rPr>
        <w:t>aving regard to the specific type of ill</w:t>
      </w:r>
      <w:r w:rsidRPr="00E116B6" w:rsidR="00286755">
        <w:rPr>
          <w:snapToGrid w:val="0"/>
          <w:lang w:val="en-GB"/>
        </w:rPr>
        <w:noBreakHyphen/>
      </w:r>
      <w:r w:rsidRPr="00E116B6" w:rsidR="000F7E80">
        <w:rPr>
          <w:snapToGrid w:val="0"/>
          <w:lang w:val="en-GB"/>
        </w:rPr>
        <w:t>treatment</w:t>
      </w:r>
      <w:r w:rsidRPr="00E116B6" w:rsidR="00F3697B">
        <w:rPr>
          <w:snapToGrid w:val="0"/>
          <w:lang w:val="en-GB"/>
        </w:rPr>
        <w:t xml:space="preserve"> </w:t>
      </w:r>
      <w:r w:rsidRPr="00E116B6" w:rsidR="003914A9">
        <w:rPr>
          <w:snapToGrid w:val="0"/>
          <w:lang w:val="en-GB"/>
        </w:rPr>
        <w:t xml:space="preserve">perpetrated </w:t>
      </w:r>
      <w:r w:rsidRPr="00E116B6" w:rsidR="00FF7256">
        <w:rPr>
          <w:snapToGrid w:val="0"/>
          <w:lang w:val="en-GB"/>
        </w:rPr>
        <w:t xml:space="preserve">by trained police officers </w:t>
      </w:r>
      <w:r w:rsidRPr="00E116B6" w:rsidR="003914A9">
        <w:rPr>
          <w:snapToGrid w:val="0"/>
          <w:lang w:val="en-GB"/>
        </w:rPr>
        <w:t xml:space="preserve">with the </w:t>
      </w:r>
      <w:r w:rsidRPr="00E116B6" w:rsidR="00FF7256">
        <w:rPr>
          <w:snapToGrid w:val="0"/>
          <w:lang w:val="en-GB"/>
        </w:rPr>
        <w:t>sole aim</w:t>
      </w:r>
      <w:r w:rsidRPr="00E116B6" w:rsidR="003914A9">
        <w:rPr>
          <w:snapToGrid w:val="0"/>
          <w:lang w:val="en-GB"/>
        </w:rPr>
        <w:t xml:space="preserve"> of</w:t>
      </w:r>
      <w:r w:rsidRPr="00E116B6" w:rsidR="00F3697B">
        <w:rPr>
          <w:snapToGrid w:val="0"/>
          <w:lang w:val="en-GB"/>
        </w:rPr>
        <w:t xml:space="preserve"> obtain</w:t>
      </w:r>
      <w:r w:rsidRPr="00E116B6" w:rsidR="00982C25">
        <w:rPr>
          <w:snapToGrid w:val="0"/>
          <w:lang w:val="en-GB"/>
        </w:rPr>
        <w:t>in</w:t>
      </w:r>
      <w:r w:rsidRPr="00E116B6" w:rsidR="00F3697B">
        <w:rPr>
          <w:snapToGrid w:val="0"/>
          <w:lang w:val="en-GB"/>
        </w:rPr>
        <w:t>g</w:t>
      </w:r>
      <w:r w:rsidRPr="00E116B6" w:rsidR="00982C25">
        <w:rPr>
          <w:snapToGrid w:val="0"/>
          <w:lang w:val="en-GB"/>
        </w:rPr>
        <w:t xml:space="preserve"> a confessi</w:t>
      </w:r>
      <w:r w:rsidRPr="00E116B6" w:rsidR="006555F4">
        <w:rPr>
          <w:snapToGrid w:val="0"/>
          <w:lang w:val="en-GB"/>
        </w:rPr>
        <w:t xml:space="preserve">on </w:t>
      </w:r>
      <w:r w:rsidRPr="00E116B6" w:rsidR="003914A9">
        <w:rPr>
          <w:snapToGrid w:val="0"/>
          <w:lang w:val="en-GB"/>
        </w:rPr>
        <w:t>from the first applicant</w:t>
      </w:r>
      <w:r w:rsidRPr="00E116B6" w:rsidR="000F7E80">
        <w:rPr>
          <w:snapToGrid w:val="0"/>
          <w:lang w:val="en-GB"/>
        </w:rPr>
        <w:t xml:space="preserve"> – the administrati</w:t>
      </w:r>
      <w:r w:rsidRPr="00E116B6" w:rsidR="006555F4">
        <w:rPr>
          <w:snapToGrid w:val="0"/>
          <w:lang w:val="en-GB"/>
        </w:rPr>
        <w:t xml:space="preserve">on </w:t>
      </w:r>
      <w:r w:rsidRPr="00E116B6" w:rsidR="000F7E80">
        <w:rPr>
          <w:snapToGrid w:val="0"/>
          <w:lang w:val="en-GB"/>
        </w:rPr>
        <w:t xml:space="preserve">of electric shocks and beating with </w:t>
      </w:r>
      <w:r w:rsidRPr="00E116B6" w:rsidR="00564F0E">
        <w:rPr>
          <w:snapToGrid w:val="0"/>
          <w:lang w:val="en-GB"/>
        </w:rPr>
        <w:t xml:space="preserve">an </w:t>
      </w:r>
      <w:r w:rsidRPr="00E116B6" w:rsidR="000F7E80">
        <w:rPr>
          <w:snapToGrid w:val="0"/>
          <w:lang w:val="en-GB"/>
        </w:rPr>
        <w:t>ir</w:t>
      </w:r>
      <w:r w:rsidRPr="00E116B6" w:rsidR="006555F4">
        <w:rPr>
          <w:snapToGrid w:val="0"/>
          <w:lang w:val="en-GB"/>
        </w:rPr>
        <w:t xml:space="preserve">on </w:t>
      </w:r>
      <w:r w:rsidRPr="00E116B6" w:rsidR="000F7E80">
        <w:rPr>
          <w:snapToGrid w:val="0"/>
          <w:lang w:val="en-GB"/>
        </w:rPr>
        <w:t>padlock –</w:t>
      </w:r>
      <w:r w:rsidRPr="00E116B6" w:rsidR="000809BA">
        <w:rPr>
          <w:snapToGrid w:val="0"/>
          <w:lang w:val="en-GB"/>
        </w:rPr>
        <w:t xml:space="preserve"> the Court co</w:t>
      </w:r>
      <w:r w:rsidRPr="00E116B6" w:rsidR="00BC15FF">
        <w:rPr>
          <w:snapToGrid w:val="0"/>
          <w:lang w:val="en-GB"/>
        </w:rPr>
        <w:t>nsiders</w:t>
      </w:r>
      <w:r w:rsidRPr="00E116B6" w:rsidR="000809BA">
        <w:rPr>
          <w:snapToGrid w:val="0"/>
          <w:lang w:val="en-GB"/>
        </w:rPr>
        <w:t xml:space="preserve"> it to be</w:t>
      </w:r>
      <w:r w:rsidRPr="00E116B6" w:rsidR="00FF7256">
        <w:rPr>
          <w:snapToGrid w:val="0"/>
          <w:lang w:val="en-GB"/>
        </w:rPr>
        <w:t xml:space="preserve"> a serious abuse of the applicant</w:t>
      </w:r>
      <w:r w:rsidRPr="00E116B6" w:rsidR="00E116B6">
        <w:rPr>
          <w:snapToGrid w:val="0"/>
          <w:lang w:val="en-GB"/>
        </w:rPr>
        <w:t>’</w:t>
      </w:r>
      <w:r w:rsidRPr="00E116B6" w:rsidR="00FF7256">
        <w:rPr>
          <w:snapToGrid w:val="0"/>
          <w:lang w:val="en-GB"/>
        </w:rPr>
        <w:t>s physical integrity and dignity, which thus falls</w:t>
      </w:r>
      <w:r w:rsidRPr="00E116B6" w:rsidR="00BC15FF">
        <w:rPr>
          <w:snapToGrid w:val="0"/>
          <w:lang w:val="en-GB"/>
        </w:rPr>
        <w:t xml:space="preserve"> to be characteri</w:t>
      </w:r>
      <w:r w:rsidRPr="00E116B6" w:rsidR="00564F0E">
        <w:rPr>
          <w:snapToGrid w:val="0"/>
          <w:lang w:val="en-GB"/>
        </w:rPr>
        <w:t>s</w:t>
      </w:r>
      <w:r w:rsidRPr="00E116B6" w:rsidR="00BC15FF">
        <w:rPr>
          <w:snapToGrid w:val="0"/>
          <w:lang w:val="en-GB"/>
        </w:rPr>
        <w:t>ed as to</w:t>
      </w:r>
      <w:r w:rsidRPr="00E116B6" w:rsidR="000809BA">
        <w:rPr>
          <w:snapToGrid w:val="0"/>
          <w:lang w:val="en-GB"/>
        </w:rPr>
        <w:t>rture within the meaning of Article 3 of the Conventi</w:t>
      </w:r>
      <w:r w:rsidRPr="00E116B6" w:rsidR="006555F4">
        <w:rPr>
          <w:snapToGrid w:val="0"/>
          <w:lang w:val="en-GB"/>
        </w:rPr>
        <w:t xml:space="preserve">on </w:t>
      </w:r>
      <w:r w:rsidRPr="00E116B6" w:rsidR="000809BA">
        <w:rPr>
          <w:snapToGrid w:val="0"/>
          <w:lang w:val="en-GB"/>
        </w:rPr>
        <w:t>(</w:t>
      </w:r>
      <w:r w:rsidRPr="00E116B6" w:rsidR="000809BA">
        <w:rPr>
          <w:lang w:val="en-GB"/>
        </w:rPr>
        <w:t>see</w:t>
      </w:r>
      <w:r w:rsidRPr="00E116B6" w:rsidR="00FF7256">
        <w:rPr>
          <w:lang w:val="en-GB"/>
        </w:rPr>
        <w:t xml:space="preserve"> </w:t>
      </w:r>
      <w:r w:rsidRPr="00E116B6" w:rsidR="00FF7256">
        <w:rPr>
          <w:i/>
        </w:rPr>
        <w:t>Pomilyayko v. Ukraine,</w:t>
      </w:r>
      <w:r w:rsidRPr="00E116B6" w:rsidR="00FF7256">
        <w:rPr>
          <w:lang w:val="en-GB"/>
        </w:rPr>
        <w:t xml:space="preserve"> no. 60426/11</w:t>
      </w:r>
      <w:r w:rsidRPr="00E116B6" w:rsidR="008350A4">
        <w:rPr>
          <w:snapToGrid w:val="0"/>
          <w:lang w:val="en-GB"/>
        </w:rPr>
        <w:t>, § </w:t>
      </w:r>
      <w:r w:rsidRPr="00E116B6" w:rsidR="0060652C">
        <w:rPr>
          <w:snapToGrid w:val="0"/>
          <w:lang w:val="en-GB"/>
        </w:rPr>
        <w:t>51</w:t>
      </w:r>
      <w:r w:rsidRPr="00E116B6" w:rsidR="00FF7256">
        <w:rPr>
          <w:snapToGrid w:val="0"/>
          <w:lang w:val="en-GB"/>
        </w:rPr>
        <w:t>, 11</w:t>
      </w:r>
      <w:r w:rsidRPr="00E116B6" w:rsidR="00A05C4D">
        <w:rPr>
          <w:snapToGrid w:val="0"/>
          <w:lang w:val="en-GB"/>
        </w:rPr>
        <w:t> </w:t>
      </w:r>
      <w:r w:rsidRPr="00E116B6" w:rsidR="00FF7256">
        <w:rPr>
          <w:snapToGrid w:val="0"/>
          <w:lang w:val="en-GB"/>
        </w:rPr>
        <w:t>February 2016</w:t>
      </w:r>
      <w:r w:rsidRPr="00E116B6" w:rsidR="0060652C">
        <w:rPr>
          <w:snapToGrid w:val="0"/>
          <w:lang w:val="en-GB"/>
        </w:rPr>
        <w:t>;</w:t>
      </w:r>
      <w:r w:rsidRPr="00E116B6" w:rsidR="000F7E80">
        <w:rPr>
          <w:lang w:val="en-GB"/>
        </w:rPr>
        <w:t xml:space="preserve"> </w:t>
      </w:r>
      <w:r w:rsidRPr="00E116B6" w:rsidR="009F0DE4">
        <w:rPr>
          <w:i/>
          <w:lang w:val="en-GB"/>
        </w:rPr>
        <w:t>Myumyun v. Bulgaria</w:t>
      </w:r>
      <w:r w:rsidRPr="00E116B6" w:rsidR="009F0DE4">
        <w:rPr>
          <w:lang w:val="en-GB"/>
        </w:rPr>
        <w:t xml:space="preserve">, no. </w:t>
      </w:r>
      <w:hyperlink w:tgtFrame="_blank" w:history="1" w:anchor="{&quot;appno&quot;:[&quot;67258/13&quot;]}" r:id="rId15">
        <w:r w:rsidRPr="00E116B6" w:rsidR="009F0DE4">
          <w:rPr>
            <w:lang w:val="en-GB"/>
          </w:rPr>
          <w:t>67258/13</w:t>
        </w:r>
      </w:hyperlink>
      <w:r w:rsidRPr="00E116B6" w:rsidR="009F0DE4">
        <w:rPr>
          <w:lang w:val="en-GB"/>
        </w:rPr>
        <w:t xml:space="preserve">, § 62, 3 November 2015; </w:t>
      </w:r>
      <w:r w:rsidRPr="00E116B6" w:rsidR="009F0DE4">
        <w:rPr>
          <w:i/>
          <w:lang w:val="en-GB"/>
        </w:rPr>
        <w:t>Grigoryev v. Ukraine</w:t>
      </w:r>
      <w:r w:rsidRPr="00E116B6" w:rsidR="009F0DE4">
        <w:rPr>
          <w:lang w:val="en-GB"/>
        </w:rPr>
        <w:t xml:space="preserve">, no. </w:t>
      </w:r>
      <w:hyperlink w:tgtFrame="_blank" w:history="1" w:anchor="{&quot;appno&quot;:[&quot;51671/07&quot;]}" r:id="rId16">
        <w:r w:rsidRPr="00E116B6" w:rsidR="009F0DE4">
          <w:rPr>
            <w:lang w:val="en-GB"/>
          </w:rPr>
          <w:t>51671/07</w:t>
        </w:r>
      </w:hyperlink>
      <w:r w:rsidRPr="00E116B6" w:rsidR="009F0DE4">
        <w:rPr>
          <w:lang w:val="en-GB"/>
        </w:rPr>
        <w:t xml:space="preserve">, § 64, 15 May 2012, and </w:t>
      </w:r>
      <w:r w:rsidRPr="00E116B6" w:rsidR="00BD03AB">
        <w:rPr>
          <w:i/>
          <w:lang w:val="en-GB"/>
        </w:rPr>
        <w:t>Polonskiy v. </w:t>
      </w:r>
      <w:r w:rsidRPr="00E116B6" w:rsidR="000809BA">
        <w:rPr>
          <w:i/>
          <w:lang w:val="en-GB"/>
        </w:rPr>
        <w:t>Russia</w:t>
      </w:r>
      <w:r w:rsidRPr="00E116B6" w:rsidR="000809BA">
        <w:rPr>
          <w:lang w:val="en-GB"/>
        </w:rPr>
        <w:t xml:space="preserve">, no. </w:t>
      </w:r>
      <w:hyperlink w:tgtFrame="_blank" w:history="1" w:anchor="{&quot;appno&quot;:[&quot;30033/05&quot;]}" r:id="rId17">
        <w:r w:rsidRPr="00E116B6" w:rsidR="000809BA">
          <w:rPr>
            <w:lang w:val="en-GB"/>
          </w:rPr>
          <w:t>30033/05</w:t>
        </w:r>
      </w:hyperlink>
      <w:r w:rsidRPr="00E116B6" w:rsidR="000809BA">
        <w:rPr>
          <w:lang w:val="en-GB"/>
        </w:rPr>
        <w:t>, §</w:t>
      </w:r>
      <w:r w:rsidRPr="00E116B6" w:rsidR="0000400E">
        <w:rPr>
          <w:lang w:val="en-GB"/>
        </w:rPr>
        <w:t> </w:t>
      </w:r>
      <w:r w:rsidRPr="00E116B6" w:rsidR="000809BA">
        <w:rPr>
          <w:lang w:val="en-GB"/>
        </w:rPr>
        <w:t>124, 19 March 2009).</w:t>
      </w:r>
    </w:p>
    <w:p w:rsidRPr="00E116B6" w:rsidR="00E4047F" w:rsidP="00E116B6" w:rsidRDefault="00E4047F">
      <w:pPr>
        <w:pStyle w:val="ECHRPara"/>
        <w:rPr>
          <w:i/>
          <w:lang w:val="en-GB"/>
        </w:rPr>
      </w:pPr>
      <w:r w:rsidRPr="00E116B6">
        <w:rPr>
          <w:snapToGrid w:val="0"/>
          <w:lang w:val="en-GB"/>
        </w:rPr>
        <w:fldChar w:fldCharType="begin"/>
      </w:r>
      <w:r w:rsidRPr="00E116B6">
        <w:rPr>
          <w:snapToGrid w:val="0"/>
          <w:lang w:val="en-GB"/>
        </w:rPr>
        <w:instrText xml:space="preserve"> SEQ level0 \*arabic </w:instrText>
      </w:r>
      <w:r w:rsidRPr="00E116B6">
        <w:rPr>
          <w:snapToGrid w:val="0"/>
          <w:lang w:val="en-GB"/>
        </w:rPr>
        <w:fldChar w:fldCharType="separate"/>
      </w:r>
      <w:r w:rsidRPr="00E116B6" w:rsidR="00E116B6">
        <w:rPr>
          <w:noProof/>
          <w:snapToGrid w:val="0"/>
          <w:lang w:val="en-GB"/>
        </w:rPr>
        <w:t>110</w:t>
      </w:r>
      <w:r w:rsidRPr="00E116B6">
        <w:rPr>
          <w:snapToGrid w:val="0"/>
          <w:lang w:val="en-GB"/>
        </w:rPr>
        <w:fldChar w:fldCharType="end"/>
      </w:r>
      <w:r w:rsidRPr="00E116B6">
        <w:rPr>
          <w:snapToGrid w:val="0"/>
          <w:lang w:val="en-GB"/>
        </w:rPr>
        <w:t>.  </w:t>
      </w:r>
      <w:r w:rsidRPr="00E116B6">
        <w:rPr>
          <w:lang w:val="en-GB"/>
        </w:rPr>
        <w:t>There has therefore been a violati</w:t>
      </w:r>
      <w:r w:rsidRPr="00E116B6" w:rsidR="006555F4">
        <w:rPr>
          <w:lang w:val="en-GB"/>
        </w:rPr>
        <w:t xml:space="preserve">on </w:t>
      </w:r>
      <w:r w:rsidRPr="00E116B6">
        <w:rPr>
          <w:lang w:val="en-GB"/>
        </w:rPr>
        <w:t>of Article 3 of the Conventi</w:t>
      </w:r>
      <w:r w:rsidRPr="00E116B6" w:rsidR="006555F4">
        <w:rPr>
          <w:lang w:val="en-GB"/>
        </w:rPr>
        <w:t xml:space="preserve">on </w:t>
      </w:r>
      <w:r w:rsidRPr="00E116B6">
        <w:rPr>
          <w:lang w:val="en-GB"/>
        </w:rPr>
        <w:t xml:space="preserve">under both its substantive and procedural </w:t>
      </w:r>
      <w:r w:rsidRPr="00E116B6" w:rsidR="000809BA">
        <w:rPr>
          <w:lang w:val="en-GB"/>
        </w:rPr>
        <w:t>limbs</w:t>
      </w:r>
      <w:r w:rsidRPr="00E116B6">
        <w:rPr>
          <w:lang w:val="en-GB"/>
        </w:rPr>
        <w:t>.</w:t>
      </w:r>
    </w:p>
    <w:p w:rsidRPr="00E116B6" w:rsidR="00014566" w:rsidP="00E116B6" w:rsidRDefault="003B3277">
      <w:pPr>
        <w:pStyle w:val="ECHRHeading1"/>
        <w:rPr>
          <w:lang w:val="en-GB"/>
        </w:rPr>
      </w:pPr>
      <w:r w:rsidRPr="00E116B6">
        <w:rPr>
          <w:lang w:val="en-GB"/>
        </w:rPr>
        <w:t>II</w:t>
      </w:r>
      <w:r w:rsidRPr="00E116B6" w:rsidR="00014566">
        <w:rPr>
          <w:lang w:val="en-GB"/>
        </w:rPr>
        <w:t xml:space="preserve">.  ALLEGED VIOLATION OF ARTICLE </w:t>
      </w:r>
      <w:r w:rsidRPr="00E116B6">
        <w:rPr>
          <w:lang w:val="en-GB"/>
        </w:rPr>
        <w:t>5</w:t>
      </w:r>
      <w:r w:rsidRPr="00E116B6" w:rsidR="00671F5F">
        <w:rPr>
          <w:lang w:val="en-GB"/>
        </w:rPr>
        <w:t xml:space="preserve"> </w:t>
      </w:r>
      <w:r w:rsidRPr="00E116B6" w:rsidR="00671F5F">
        <w:rPr>
          <w:rFonts w:cstheme="majorHAnsi"/>
          <w:lang w:val="en-GB"/>
        </w:rPr>
        <w:t>§</w:t>
      </w:r>
      <w:r w:rsidRPr="00E116B6" w:rsidR="00014566">
        <w:rPr>
          <w:lang w:val="en-GB"/>
        </w:rPr>
        <w:t xml:space="preserve"> </w:t>
      </w:r>
      <w:r w:rsidRPr="00E116B6" w:rsidR="00671F5F">
        <w:rPr>
          <w:lang w:val="en-GB"/>
        </w:rPr>
        <w:t xml:space="preserve">1 </w:t>
      </w:r>
      <w:r w:rsidRPr="00E116B6" w:rsidR="00014566">
        <w:rPr>
          <w:lang w:val="en-GB"/>
        </w:rPr>
        <w:t>OF THE CONVENTION</w:t>
      </w:r>
    </w:p>
    <w:bookmarkStart w:name="unlawfuldetention" w:id="49"/>
    <w:p w:rsidRPr="00E116B6" w:rsidR="002D401F" w:rsidP="00E116B6" w:rsidRDefault="00570E7B">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111</w:t>
      </w:r>
      <w:r w:rsidRPr="00E116B6">
        <w:rPr>
          <w:lang w:val="en-GB"/>
        </w:rPr>
        <w:fldChar w:fldCharType="end"/>
      </w:r>
      <w:bookmarkEnd w:id="49"/>
      <w:r w:rsidRPr="00E116B6" w:rsidR="00014566">
        <w:rPr>
          <w:lang w:val="en-GB"/>
        </w:rPr>
        <w:t>.  </w:t>
      </w:r>
      <w:r w:rsidRPr="00E116B6" w:rsidR="001A1DB8">
        <w:rPr>
          <w:lang w:val="en-GB"/>
        </w:rPr>
        <w:t xml:space="preserve">Citing Article 5 </w:t>
      </w:r>
      <w:r w:rsidRPr="00E116B6" w:rsidR="001A1DB8">
        <w:rPr>
          <w:rFonts w:cstheme="minorHAnsi"/>
          <w:lang w:val="en-GB"/>
        </w:rPr>
        <w:t>§</w:t>
      </w:r>
      <w:r w:rsidRPr="00E116B6" w:rsidR="001A1DB8">
        <w:rPr>
          <w:lang w:val="en-GB"/>
        </w:rPr>
        <w:t xml:space="preserve"> 1 of the Convention, both</w:t>
      </w:r>
      <w:r w:rsidRPr="00E116B6" w:rsidR="00014566">
        <w:rPr>
          <w:lang w:val="en-GB"/>
        </w:rPr>
        <w:t xml:space="preserve"> applicant</w:t>
      </w:r>
      <w:r w:rsidRPr="00E116B6">
        <w:rPr>
          <w:lang w:val="en-GB"/>
        </w:rPr>
        <w:t>s</w:t>
      </w:r>
      <w:r w:rsidRPr="00E116B6" w:rsidR="00014566">
        <w:rPr>
          <w:lang w:val="en-GB"/>
        </w:rPr>
        <w:t xml:space="preserve"> </w:t>
      </w:r>
      <w:r w:rsidRPr="00E116B6" w:rsidR="001A1DB8">
        <w:rPr>
          <w:lang w:val="en-GB"/>
        </w:rPr>
        <w:t>complained that their detenti</w:t>
      </w:r>
      <w:r w:rsidRPr="00E116B6" w:rsidR="006555F4">
        <w:rPr>
          <w:lang w:val="en-GB"/>
        </w:rPr>
        <w:t xml:space="preserve">on </w:t>
      </w:r>
      <w:r w:rsidRPr="00E116B6" w:rsidR="00D33FB9">
        <w:rPr>
          <w:lang w:val="en-GB"/>
        </w:rPr>
        <w:t xml:space="preserve">from </w:t>
      </w:r>
      <w:r w:rsidRPr="00E116B6" w:rsidR="001A1DB8">
        <w:rPr>
          <w:lang w:val="en-GB"/>
        </w:rPr>
        <w:t>13 January 2005</w:t>
      </w:r>
      <w:r w:rsidRPr="00E116B6" w:rsidR="00671F5F">
        <w:rPr>
          <w:lang w:val="en-GB"/>
        </w:rPr>
        <w:t>, the date of the expir</w:t>
      </w:r>
      <w:r w:rsidRPr="00E116B6" w:rsidR="00D33FB9">
        <w:rPr>
          <w:lang w:val="en-GB"/>
        </w:rPr>
        <w:t xml:space="preserve">y </w:t>
      </w:r>
      <w:r w:rsidRPr="00E116B6" w:rsidR="00671F5F">
        <w:rPr>
          <w:lang w:val="en-GB"/>
        </w:rPr>
        <w:t>of their judicially authorised eight-month detenti</w:t>
      </w:r>
      <w:r w:rsidRPr="00E116B6" w:rsidR="006555F4">
        <w:rPr>
          <w:lang w:val="en-GB"/>
        </w:rPr>
        <w:t xml:space="preserve">on </w:t>
      </w:r>
      <w:r w:rsidRPr="00E116B6" w:rsidR="00671F5F">
        <w:rPr>
          <w:lang w:val="en-GB"/>
        </w:rPr>
        <w:t xml:space="preserve">period, </w:t>
      </w:r>
      <w:r w:rsidRPr="00E116B6" w:rsidR="00D33FB9">
        <w:rPr>
          <w:lang w:val="en-GB"/>
        </w:rPr>
        <w:t xml:space="preserve">to </w:t>
      </w:r>
      <w:r w:rsidRPr="00E116B6" w:rsidR="00671F5F">
        <w:rPr>
          <w:lang w:val="en-GB"/>
        </w:rPr>
        <w:t>7 June 2005, the date of their committal for trial, had been unlawful.</w:t>
      </w:r>
      <w:r w:rsidRPr="00E116B6" w:rsidR="002D401F">
        <w:rPr>
          <w:lang w:val="en-GB"/>
        </w:rPr>
        <w:t xml:space="preserve"> That provisi</w:t>
      </w:r>
      <w:r w:rsidRPr="00E116B6" w:rsidR="006555F4">
        <w:rPr>
          <w:lang w:val="en-GB"/>
        </w:rPr>
        <w:t xml:space="preserve">on </w:t>
      </w:r>
      <w:r w:rsidRPr="00E116B6" w:rsidR="002D401F">
        <w:rPr>
          <w:lang w:val="en-GB"/>
        </w:rPr>
        <w:t>of the Conventi</w:t>
      </w:r>
      <w:r w:rsidRPr="00E116B6" w:rsidR="006555F4">
        <w:rPr>
          <w:lang w:val="en-GB"/>
        </w:rPr>
        <w:t xml:space="preserve">on </w:t>
      </w:r>
      <w:r w:rsidRPr="00E116B6" w:rsidR="002D401F">
        <w:rPr>
          <w:lang w:val="en-GB"/>
        </w:rPr>
        <w:t>reads, in so far as relevant, as follows:</w:t>
      </w:r>
    </w:p>
    <w:p w:rsidRPr="00E116B6" w:rsidR="002D401F" w:rsidP="00E116B6" w:rsidRDefault="002D401F">
      <w:pPr>
        <w:pStyle w:val="ECHRTitleCentre3"/>
        <w:rPr>
          <w:lang w:val="en-GB"/>
        </w:rPr>
      </w:pPr>
      <w:r w:rsidRPr="00E116B6">
        <w:rPr>
          <w:lang w:val="en-GB"/>
        </w:rPr>
        <w:t>Article 5</w:t>
      </w:r>
    </w:p>
    <w:p w:rsidRPr="00E116B6" w:rsidR="002D401F" w:rsidP="00E116B6" w:rsidRDefault="002D401F">
      <w:pPr>
        <w:pStyle w:val="ECHRParaQuote"/>
        <w:rPr>
          <w:lang w:val="en-GB"/>
        </w:rPr>
      </w:pPr>
      <w:r w:rsidRPr="00E116B6">
        <w:rPr>
          <w:lang w:val="en-GB"/>
        </w:rPr>
        <w:t xml:space="preserve">“1.  ... No one shall be deprived of his liberty save in the following cases and in accordance with a procedure prescribed by law: </w:t>
      </w:r>
      <w:r w:rsidRPr="00E116B6" w:rsidR="00AC1180">
        <w:rPr>
          <w:lang w:val="en-GB"/>
        </w:rPr>
        <w:t>...</w:t>
      </w:r>
    </w:p>
    <w:p w:rsidRPr="00E116B6" w:rsidR="002D401F" w:rsidP="00E116B6" w:rsidRDefault="002D401F">
      <w:pPr>
        <w:pStyle w:val="ECHRParaQuote"/>
        <w:rPr>
          <w:lang w:val="en-GB"/>
        </w:rPr>
      </w:pPr>
      <w:r w:rsidRPr="00E116B6">
        <w:rPr>
          <w:lang w:val="en-GB"/>
        </w:rPr>
        <w:t>(c)  the lawful arrest or detenti</w:t>
      </w:r>
      <w:r w:rsidRPr="00E116B6" w:rsidR="006555F4">
        <w:rPr>
          <w:lang w:val="en-GB"/>
        </w:rPr>
        <w:t xml:space="preserve">on </w:t>
      </w:r>
      <w:r w:rsidRPr="00E116B6">
        <w:rPr>
          <w:lang w:val="en-GB"/>
        </w:rPr>
        <w:t>of a pers</w:t>
      </w:r>
      <w:r w:rsidRPr="00E116B6" w:rsidR="006555F4">
        <w:rPr>
          <w:lang w:val="en-GB"/>
        </w:rPr>
        <w:t xml:space="preserve">on </w:t>
      </w:r>
      <w:r w:rsidRPr="00E116B6">
        <w:rPr>
          <w:lang w:val="en-GB"/>
        </w:rPr>
        <w:t xml:space="preserve">effected for the purpose of bringing him before the competent legal authority </w:t>
      </w:r>
      <w:r w:rsidRPr="00E116B6" w:rsidR="006555F4">
        <w:rPr>
          <w:lang w:val="en-GB"/>
        </w:rPr>
        <w:t xml:space="preserve">on </w:t>
      </w:r>
      <w:r w:rsidRPr="00E116B6">
        <w:rPr>
          <w:lang w:val="en-GB"/>
        </w:rPr>
        <w:t>reasonable suspici</w:t>
      </w:r>
      <w:r w:rsidRPr="00E116B6" w:rsidR="006555F4">
        <w:rPr>
          <w:lang w:val="en-GB"/>
        </w:rPr>
        <w:t xml:space="preserve">on </w:t>
      </w:r>
      <w:r w:rsidRPr="00E116B6">
        <w:rPr>
          <w:lang w:val="en-GB"/>
        </w:rPr>
        <w:t xml:space="preserve">of having committed an offence </w:t>
      </w:r>
      <w:r w:rsidRPr="00E116B6" w:rsidR="00AC1180">
        <w:rPr>
          <w:lang w:val="en-GB"/>
        </w:rPr>
        <w:t>...</w:t>
      </w:r>
      <w:r w:rsidRPr="00E116B6">
        <w:rPr>
          <w:lang w:val="en-GB"/>
        </w:rPr>
        <w:t>;”</w:t>
      </w:r>
    </w:p>
    <w:p w:rsidRPr="00E116B6" w:rsidR="002D401F" w:rsidP="00E116B6" w:rsidRDefault="002D401F">
      <w:pPr>
        <w:pStyle w:val="ECHRHeading2"/>
        <w:rPr>
          <w:lang w:val="en-GB"/>
        </w:rPr>
      </w:pPr>
      <w:r w:rsidRPr="00E116B6">
        <w:rPr>
          <w:lang w:val="en-GB"/>
        </w:rPr>
        <w:t>A.  Admissibility</w:t>
      </w:r>
    </w:p>
    <w:p w:rsidRPr="00E116B6" w:rsidR="002D401F" w:rsidP="00E116B6" w:rsidRDefault="00111B57">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112</w:t>
      </w:r>
      <w:r w:rsidRPr="00E116B6">
        <w:rPr>
          <w:lang w:val="en-GB"/>
        </w:rPr>
        <w:fldChar w:fldCharType="end"/>
      </w:r>
      <w:r w:rsidRPr="00E116B6">
        <w:rPr>
          <w:lang w:val="en-GB"/>
        </w:rPr>
        <w:t>.  </w:t>
      </w:r>
      <w:r w:rsidRPr="00E116B6" w:rsidR="002D401F">
        <w:rPr>
          <w:lang w:val="en-GB"/>
        </w:rPr>
        <w:t>The Court notes that this complaint is not manifestly ill</w:t>
      </w:r>
      <w:r w:rsidRPr="00E116B6" w:rsidR="002D401F">
        <w:rPr>
          <w:lang w:val="en-GB"/>
        </w:rPr>
        <w:noBreakHyphen/>
        <w:t xml:space="preserve">founded within the meaning of Article 35 § 3 (a) of the Convention. It further notes that it is not inadmissible </w:t>
      </w:r>
      <w:r w:rsidRPr="00E116B6" w:rsidR="006555F4">
        <w:rPr>
          <w:lang w:val="en-GB"/>
        </w:rPr>
        <w:t xml:space="preserve">on </w:t>
      </w:r>
      <w:r w:rsidRPr="00E116B6" w:rsidR="002D401F">
        <w:rPr>
          <w:lang w:val="en-GB"/>
        </w:rPr>
        <w:t>any other grounds. It must therefore be declared admissible.</w:t>
      </w:r>
    </w:p>
    <w:p w:rsidRPr="00E116B6" w:rsidR="002D401F" w:rsidP="00E116B6" w:rsidRDefault="002D401F">
      <w:pPr>
        <w:pStyle w:val="ECHRHeading2"/>
        <w:rPr>
          <w:lang w:val="en-GB"/>
        </w:rPr>
      </w:pPr>
      <w:r w:rsidRPr="00E116B6">
        <w:rPr>
          <w:lang w:val="en-GB"/>
        </w:rPr>
        <w:t>B.  Merits</w:t>
      </w:r>
    </w:p>
    <w:p w:rsidRPr="00E116B6" w:rsidR="00111B57" w:rsidP="00E116B6" w:rsidRDefault="00111B57">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113</w:t>
      </w:r>
      <w:r w:rsidRPr="00E116B6">
        <w:rPr>
          <w:lang w:val="en-GB"/>
        </w:rPr>
        <w:fldChar w:fldCharType="end"/>
      </w:r>
      <w:r w:rsidRPr="00E116B6">
        <w:rPr>
          <w:lang w:val="en-GB"/>
        </w:rPr>
        <w:t>.  The Government submitted that in accordance with the relevant provisions of the CCP in force at the material time the fact that the case had been transmitted to the trial court had sufficed for the detenti</w:t>
      </w:r>
      <w:r w:rsidRPr="00E116B6" w:rsidR="006555F4">
        <w:rPr>
          <w:lang w:val="en-GB"/>
        </w:rPr>
        <w:t xml:space="preserve">on </w:t>
      </w:r>
      <w:r w:rsidRPr="00E116B6">
        <w:rPr>
          <w:lang w:val="en-GB"/>
        </w:rPr>
        <w:t>to fall under “judicial scrutiny”. They added that such a practice had already been ended.</w:t>
      </w:r>
    </w:p>
    <w:p w:rsidRPr="00E116B6" w:rsidR="00111B57" w:rsidP="00E116B6" w:rsidRDefault="00111B57">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114</w:t>
      </w:r>
      <w:r w:rsidRPr="00E116B6">
        <w:rPr>
          <w:lang w:val="en-GB"/>
        </w:rPr>
        <w:fldChar w:fldCharType="end"/>
      </w:r>
      <w:r w:rsidRPr="00E116B6">
        <w:rPr>
          <w:lang w:val="en-GB"/>
        </w:rPr>
        <w:t>.  In reply, the applicants maintained that their detenti</w:t>
      </w:r>
      <w:r w:rsidRPr="00E116B6" w:rsidR="006555F4">
        <w:rPr>
          <w:lang w:val="en-GB"/>
        </w:rPr>
        <w:t xml:space="preserve">on </w:t>
      </w:r>
      <w:r w:rsidRPr="00E116B6">
        <w:rPr>
          <w:lang w:val="en-GB"/>
        </w:rPr>
        <w:t>between 13 January and 7 June 2005 had been unlawful because it had not been covered by a valid court decision.</w:t>
      </w:r>
    </w:p>
    <w:p w:rsidRPr="00E116B6" w:rsidR="002D401F" w:rsidP="00E116B6" w:rsidRDefault="002D401F">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115</w:t>
      </w:r>
      <w:r w:rsidRPr="00E116B6">
        <w:rPr>
          <w:lang w:val="en-GB"/>
        </w:rPr>
        <w:fldChar w:fldCharType="end"/>
      </w:r>
      <w:r w:rsidRPr="00E116B6">
        <w:rPr>
          <w:lang w:val="en-GB"/>
        </w:rPr>
        <w:t>.  The Court notes that it has already found a violati</w:t>
      </w:r>
      <w:r w:rsidRPr="00E116B6" w:rsidR="006555F4">
        <w:rPr>
          <w:lang w:val="en-GB"/>
        </w:rPr>
        <w:t xml:space="preserve">on </w:t>
      </w:r>
      <w:r w:rsidRPr="00E116B6">
        <w:rPr>
          <w:lang w:val="en-GB"/>
        </w:rPr>
        <w:t>of Article 5</w:t>
      </w:r>
      <w:r w:rsidRPr="00E116B6" w:rsidR="00BD03AB">
        <w:rPr>
          <w:lang w:val="en-GB"/>
        </w:rPr>
        <w:t xml:space="preserve"> </w:t>
      </w:r>
      <w:r w:rsidRPr="00E116B6">
        <w:rPr>
          <w:lang w:val="en-GB"/>
        </w:rPr>
        <w:t>§ 1 of the Conventi</w:t>
      </w:r>
      <w:r w:rsidRPr="00E116B6" w:rsidR="006555F4">
        <w:rPr>
          <w:lang w:val="en-GB"/>
        </w:rPr>
        <w:t xml:space="preserve">on </w:t>
      </w:r>
      <w:r w:rsidRPr="00E116B6">
        <w:rPr>
          <w:lang w:val="en-GB"/>
        </w:rPr>
        <w:t>in a number of cases, including those directed against Georgia, concerning the practice of holding defendants in custody</w:t>
      </w:r>
      <w:r w:rsidRPr="00E116B6" w:rsidR="00EA4AD1">
        <w:rPr>
          <w:lang w:val="en-GB"/>
        </w:rPr>
        <w:t xml:space="preserve"> without a court order,</w:t>
      </w:r>
      <w:r w:rsidRPr="00E116B6">
        <w:rPr>
          <w:lang w:val="en-GB"/>
        </w:rPr>
        <w:t xml:space="preserve"> solely </w:t>
      </w:r>
      <w:r w:rsidRPr="00E116B6" w:rsidR="006555F4">
        <w:rPr>
          <w:lang w:val="en-GB"/>
        </w:rPr>
        <w:t xml:space="preserve">on </w:t>
      </w:r>
      <w:r w:rsidRPr="00E116B6">
        <w:rPr>
          <w:lang w:val="en-GB"/>
        </w:rPr>
        <w:t>the basis of the fact that a bill of indictment ha</w:t>
      </w:r>
      <w:r w:rsidRPr="00E116B6" w:rsidR="00564F0E">
        <w:rPr>
          <w:lang w:val="en-GB"/>
        </w:rPr>
        <w:t>s</w:t>
      </w:r>
      <w:r w:rsidRPr="00E116B6" w:rsidR="00EA4AD1">
        <w:rPr>
          <w:lang w:val="en-GB"/>
        </w:rPr>
        <w:t xml:space="preserve"> been filed with a trial court </w:t>
      </w:r>
      <w:r w:rsidRPr="00E116B6">
        <w:rPr>
          <w:lang w:val="en-GB"/>
        </w:rPr>
        <w:t>(see, amongst many other authorities,</w:t>
      </w:r>
      <w:r w:rsidRPr="00E116B6">
        <w:rPr>
          <w:i/>
          <w:lang w:val="en-GB"/>
        </w:rPr>
        <w:t xml:space="preserve"> Khudoyorov v. Russia</w:t>
      </w:r>
      <w:r w:rsidRPr="00E116B6">
        <w:rPr>
          <w:lang w:val="en-GB"/>
        </w:rPr>
        <w:t>, no. 6847/02, §</w:t>
      </w:r>
      <w:r w:rsidRPr="00E116B6" w:rsidR="00651293">
        <w:rPr>
          <w:rFonts w:cstheme="minorHAnsi"/>
          <w:lang w:val="en-GB"/>
        </w:rPr>
        <w:t>§</w:t>
      </w:r>
      <w:r w:rsidRPr="00E116B6">
        <w:rPr>
          <w:lang w:val="en-GB"/>
        </w:rPr>
        <w:t xml:space="preserve"> 146-147, ECHR</w:t>
      </w:r>
      <w:r w:rsidRPr="00E116B6" w:rsidR="00A05C4D">
        <w:rPr>
          <w:lang w:val="en-GB"/>
        </w:rPr>
        <w:t> </w:t>
      </w:r>
      <w:r w:rsidRPr="00E116B6">
        <w:rPr>
          <w:lang w:val="en-GB"/>
        </w:rPr>
        <w:t>2005</w:t>
      </w:r>
      <w:r w:rsidRPr="00E116B6">
        <w:rPr>
          <w:lang w:val="en-GB"/>
        </w:rPr>
        <w:noBreakHyphen/>
        <w:t>X</w:t>
      </w:r>
      <w:r w:rsidRPr="00E116B6" w:rsidR="00A05C4D">
        <w:rPr>
          <w:lang w:val="en-GB"/>
        </w:rPr>
        <w:t> </w:t>
      </w:r>
      <w:r w:rsidRPr="00E116B6">
        <w:rPr>
          <w:lang w:val="en-GB"/>
        </w:rPr>
        <w:t xml:space="preserve">(extracts); </w:t>
      </w:r>
      <w:r w:rsidRPr="00E116B6">
        <w:rPr>
          <w:i/>
          <w:lang w:val="en-GB"/>
        </w:rPr>
        <w:t>Baranowski v. Poland</w:t>
      </w:r>
      <w:r w:rsidRPr="00E116B6">
        <w:rPr>
          <w:lang w:val="en-GB"/>
        </w:rPr>
        <w:t xml:space="preserve">, no. 28358/95, </w:t>
      </w:r>
      <w:r w:rsidRPr="00E116B6">
        <w:rPr>
          <w:rFonts w:ascii="Times New Roman" w:hAnsi="Times New Roman" w:cs="Times New Roman"/>
          <w:lang w:val="en-GB"/>
        </w:rPr>
        <w:t>§§</w:t>
      </w:r>
      <w:r w:rsidRPr="00E116B6">
        <w:rPr>
          <w:lang w:val="en-GB"/>
        </w:rPr>
        <w:t xml:space="preserve"> 53-58, ECHR 2000</w:t>
      </w:r>
      <w:r w:rsidRPr="00E116B6" w:rsidR="00564F0E">
        <w:rPr>
          <w:lang w:val="en-GB"/>
        </w:rPr>
        <w:t>-</w:t>
      </w:r>
      <w:r w:rsidRPr="00E116B6">
        <w:rPr>
          <w:lang w:val="en-GB"/>
        </w:rPr>
        <w:t>III;</w:t>
      </w:r>
      <w:r w:rsidRPr="00E116B6">
        <w:rPr>
          <w:i/>
          <w:lang w:val="en-GB"/>
        </w:rPr>
        <w:t xml:space="preserve"> Ječius v. Lithuania</w:t>
      </w:r>
      <w:r w:rsidRPr="00E116B6">
        <w:rPr>
          <w:lang w:val="en-GB"/>
        </w:rPr>
        <w:t>, no. 34578/97, §§ 60</w:t>
      </w:r>
      <w:r w:rsidRPr="00E116B6">
        <w:rPr>
          <w:lang w:val="en-GB"/>
        </w:rPr>
        <w:noBreakHyphen/>
        <w:t>64, ECHR</w:t>
      </w:r>
      <w:r w:rsidRPr="00E116B6" w:rsidR="00A05C4D">
        <w:rPr>
          <w:lang w:val="en-GB"/>
        </w:rPr>
        <w:t> </w:t>
      </w:r>
      <w:r w:rsidRPr="00E116B6">
        <w:rPr>
          <w:lang w:val="en-GB"/>
        </w:rPr>
        <w:t>2000</w:t>
      </w:r>
      <w:r w:rsidRPr="00E116B6" w:rsidR="00A05C4D">
        <w:rPr>
          <w:lang w:val="en-GB"/>
        </w:rPr>
        <w:noBreakHyphen/>
      </w:r>
      <w:r w:rsidRPr="00E116B6">
        <w:rPr>
          <w:lang w:val="en-GB"/>
        </w:rPr>
        <w:t>IX;</w:t>
      </w:r>
      <w:r w:rsidRPr="00E116B6">
        <w:rPr>
          <w:i/>
          <w:lang w:val="en-GB"/>
        </w:rPr>
        <w:t xml:space="preserve"> R</w:t>
      </w:r>
      <w:r w:rsidRPr="00E116B6" w:rsidR="00BD03AB">
        <w:rPr>
          <w:i/>
          <w:lang w:val="en-GB"/>
        </w:rPr>
        <w:t>amishvili and Kokhreidze v. </w:t>
      </w:r>
      <w:r w:rsidRPr="00E116B6">
        <w:rPr>
          <w:i/>
          <w:lang w:val="en-GB"/>
        </w:rPr>
        <w:t>Georgia</w:t>
      </w:r>
      <w:r w:rsidRPr="00E116B6">
        <w:rPr>
          <w:lang w:val="en-GB"/>
        </w:rPr>
        <w:t>, no. 1704/06, §</w:t>
      </w:r>
      <w:r w:rsidRPr="00E116B6" w:rsidR="00A05C4D">
        <w:rPr>
          <w:lang w:val="en-GB"/>
        </w:rPr>
        <w:t> </w:t>
      </w:r>
      <w:r w:rsidRPr="00E116B6">
        <w:rPr>
          <w:lang w:val="en-GB"/>
        </w:rPr>
        <w:t>106</w:t>
      </w:r>
      <w:r w:rsidRPr="00E116B6" w:rsidR="00A05C4D">
        <w:rPr>
          <w:lang w:val="en-GB"/>
        </w:rPr>
        <w:noBreakHyphen/>
      </w:r>
      <w:r w:rsidRPr="00E116B6">
        <w:rPr>
          <w:lang w:val="en-GB"/>
        </w:rPr>
        <w:t>111, 27 January 2009</w:t>
      </w:r>
      <w:r w:rsidRPr="00E116B6" w:rsidR="00335E1C">
        <w:rPr>
          <w:lang w:val="en-GB"/>
        </w:rPr>
        <w:t>,</w:t>
      </w:r>
      <w:r w:rsidRPr="00E116B6">
        <w:rPr>
          <w:lang w:val="en-GB"/>
        </w:rPr>
        <w:t xml:space="preserve"> and </w:t>
      </w:r>
      <w:r w:rsidRPr="00E116B6" w:rsidR="00BD03AB">
        <w:rPr>
          <w:i/>
          <w:lang w:val="en-GB"/>
        </w:rPr>
        <w:t>Gigolashvili v. </w:t>
      </w:r>
      <w:r w:rsidRPr="00E116B6">
        <w:rPr>
          <w:i/>
          <w:lang w:val="en-GB"/>
        </w:rPr>
        <w:t>Georgia</w:t>
      </w:r>
      <w:r w:rsidRPr="00E116B6">
        <w:rPr>
          <w:lang w:val="en-GB"/>
        </w:rPr>
        <w:t>, no. 18145/05, §§</w:t>
      </w:r>
      <w:r w:rsidRPr="00E116B6" w:rsidR="00A05C4D">
        <w:rPr>
          <w:lang w:val="en-GB"/>
        </w:rPr>
        <w:t> </w:t>
      </w:r>
      <w:r w:rsidRPr="00E116B6">
        <w:rPr>
          <w:lang w:val="en-GB"/>
        </w:rPr>
        <w:t>32-36, 8 July 2008).</w:t>
      </w:r>
    </w:p>
    <w:p w:rsidRPr="00E116B6" w:rsidR="002D401F" w:rsidP="00E116B6" w:rsidRDefault="002D401F">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116</w:t>
      </w:r>
      <w:r w:rsidRPr="00E116B6">
        <w:rPr>
          <w:lang w:val="en-GB"/>
        </w:rPr>
        <w:fldChar w:fldCharType="end"/>
      </w:r>
      <w:r w:rsidRPr="00E116B6">
        <w:rPr>
          <w:lang w:val="en-GB"/>
        </w:rPr>
        <w:t>.  The Court notes that the present applicati</w:t>
      </w:r>
      <w:r w:rsidRPr="00E116B6" w:rsidR="006555F4">
        <w:rPr>
          <w:lang w:val="en-GB"/>
        </w:rPr>
        <w:t xml:space="preserve">on </w:t>
      </w:r>
      <w:r w:rsidRPr="00E116B6">
        <w:rPr>
          <w:lang w:val="en-GB"/>
        </w:rPr>
        <w:t xml:space="preserve">is no different from the </w:t>
      </w:r>
      <w:r w:rsidRPr="00E116B6">
        <w:rPr>
          <w:i/>
          <w:lang w:val="en-GB"/>
        </w:rPr>
        <w:t>Ramishvili and Kokhreidze</w:t>
      </w:r>
      <w:r w:rsidRPr="00E116B6">
        <w:rPr>
          <w:lang w:val="en-GB"/>
        </w:rPr>
        <w:t xml:space="preserve"> or </w:t>
      </w:r>
      <w:r w:rsidRPr="00E116B6">
        <w:rPr>
          <w:i/>
          <w:lang w:val="en-GB"/>
        </w:rPr>
        <w:t xml:space="preserve">Gigolashvili </w:t>
      </w:r>
      <w:r w:rsidRPr="00E116B6">
        <w:rPr>
          <w:lang w:val="en-GB"/>
        </w:rPr>
        <w:t xml:space="preserve">cases cited above </w:t>
      </w:r>
      <w:r w:rsidRPr="00E116B6" w:rsidR="00D33FB9">
        <w:rPr>
          <w:lang w:val="en-GB"/>
        </w:rPr>
        <w:t xml:space="preserve">as it involves </w:t>
      </w:r>
      <w:r w:rsidRPr="00E116B6">
        <w:rPr>
          <w:lang w:val="en-GB"/>
        </w:rPr>
        <w:t xml:space="preserve">the </w:t>
      </w:r>
      <w:r w:rsidRPr="00E116B6" w:rsidR="00D33FB9">
        <w:rPr>
          <w:lang w:val="en-GB"/>
        </w:rPr>
        <w:t xml:space="preserve">same </w:t>
      </w:r>
      <w:r w:rsidRPr="00E116B6">
        <w:rPr>
          <w:lang w:val="en-GB"/>
        </w:rPr>
        <w:t xml:space="preserve">deficiencies in Georgian criminal procedural law and practice </w:t>
      </w:r>
      <w:r w:rsidRPr="00E116B6" w:rsidR="00D33FB9">
        <w:rPr>
          <w:lang w:val="en-GB"/>
        </w:rPr>
        <w:t xml:space="preserve">that existed </w:t>
      </w:r>
      <w:r w:rsidRPr="00E116B6">
        <w:rPr>
          <w:lang w:val="en-GB"/>
        </w:rPr>
        <w:t xml:space="preserve">at the material time. </w:t>
      </w:r>
      <w:r w:rsidRPr="00E116B6" w:rsidR="00D33FB9">
        <w:rPr>
          <w:lang w:val="en-GB"/>
        </w:rPr>
        <w:t>Hence</w:t>
      </w:r>
      <w:r w:rsidRPr="00E116B6" w:rsidR="00EA4AD1">
        <w:rPr>
          <w:lang w:val="en-GB"/>
        </w:rPr>
        <w:t>,</w:t>
      </w:r>
      <w:r w:rsidRPr="00E116B6">
        <w:rPr>
          <w:lang w:val="en-GB"/>
        </w:rPr>
        <w:t xml:space="preserve"> for </w:t>
      </w:r>
      <w:r w:rsidRPr="00E116B6" w:rsidR="003033F0">
        <w:rPr>
          <w:lang w:val="en-GB"/>
        </w:rPr>
        <w:t xml:space="preserve">four </w:t>
      </w:r>
      <w:r w:rsidRPr="00E116B6">
        <w:rPr>
          <w:lang w:val="en-GB"/>
        </w:rPr>
        <w:t>months and twenty-five days, between 13 January and 7 June 2005, there was no judicial decisi</w:t>
      </w:r>
      <w:r w:rsidRPr="00E116B6" w:rsidR="006555F4">
        <w:rPr>
          <w:lang w:val="en-GB"/>
        </w:rPr>
        <w:t xml:space="preserve">on </w:t>
      </w:r>
      <w:r w:rsidRPr="00E116B6">
        <w:rPr>
          <w:lang w:val="en-GB"/>
        </w:rPr>
        <w:t>authorising the applicants</w:t>
      </w:r>
      <w:r w:rsidRPr="00E116B6" w:rsidR="00E116B6">
        <w:rPr>
          <w:lang w:val="en-GB"/>
        </w:rPr>
        <w:t>’</w:t>
      </w:r>
      <w:r w:rsidRPr="00E116B6">
        <w:rPr>
          <w:lang w:val="en-GB"/>
        </w:rPr>
        <w:t xml:space="preserve"> detenti</w:t>
      </w:r>
      <w:r w:rsidRPr="00E116B6" w:rsidR="006555F4">
        <w:rPr>
          <w:lang w:val="en-GB"/>
        </w:rPr>
        <w:t xml:space="preserve">on </w:t>
      </w:r>
      <w:r w:rsidRPr="00E116B6" w:rsidR="00AF7DE5">
        <w:rPr>
          <w:lang w:val="en-GB"/>
        </w:rPr>
        <w:t>(see paragraph</w:t>
      </w:r>
      <w:r w:rsidRPr="00E116B6" w:rsidR="00F76F58">
        <w:rPr>
          <w:lang w:val="en-GB"/>
        </w:rPr>
        <w:t xml:space="preserve"> </w:t>
      </w:r>
      <w:r w:rsidRPr="00E116B6" w:rsidR="00F76F58">
        <w:rPr>
          <w:lang w:val="en-GB"/>
        </w:rPr>
        <w:fldChar w:fldCharType="begin"/>
      </w:r>
      <w:r w:rsidRPr="00E116B6" w:rsidR="00F76F58">
        <w:rPr>
          <w:lang w:val="en-GB"/>
        </w:rPr>
        <w:instrText xml:space="preserve"> REF unlawfuldetention \h </w:instrText>
      </w:r>
      <w:r w:rsidRPr="00E116B6" w:rsidR="00F76F58">
        <w:rPr>
          <w:lang w:val="en-GB"/>
        </w:rPr>
      </w:r>
      <w:r w:rsidRPr="00E116B6" w:rsidR="00F76F58">
        <w:rPr>
          <w:lang w:val="en-GB"/>
        </w:rPr>
        <w:fldChar w:fldCharType="separate"/>
      </w:r>
      <w:r w:rsidRPr="00E116B6" w:rsidR="00E116B6">
        <w:rPr>
          <w:noProof/>
          <w:lang w:val="en-GB"/>
        </w:rPr>
        <w:t>111</w:t>
      </w:r>
      <w:r w:rsidRPr="00E116B6" w:rsidR="00F76F58">
        <w:rPr>
          <w:lang w:val="en-GB"/>
        </w:rPr>
        <w:fldChar w:fldCharType="end"/>
      </w:r>
      <w:r w:rsidRPr="00E116B6" w:rsidR="00F76F58">
        <w:rPr>
          <w:lang w:val="en-GB"/>
        </w:rPr>
        <w:t xml:space="preserve"> above)</w:t>
      </w:r>
      <w:r w:rsidRPr="00E116B6">
        <w:rPr>
          <w:lang w:val="en-GB"/>
        </w:rPr>
        <w:t>. The fact that the criminal case file and the bill of indictment had been sent to the trial court did not render the remaining period of detenti</w:t>
      </w:r>
      <w:r w:rsidRPr="00E116B6" w:rsidR="006555F4">
        <w:rPr>
          <w:lang w:val="en-GB"/>
        </w:rPr>
        <w:t xml:space="preserve">on </w:t>
      </w:r>
      <w:r w:rsidRPr="00E116B6">
        <w:rPr>
          <w:lang w:val="en-GB"/>
        </w:rPr>
        <w:t>“lawful” within the meaning of Article 5 § 1 of the Conventi</w:t>
      </w:r>
      <w:r w:rsidRPr="00E116B6" w:rsidR="006555F4">
        <w:rPr>
          <w:lang w:val="en-GB"/>
        </w:rPr>
        <w:t xml:space="preserve">on </w:t>
      </w:r>
      <w:r w:rsidRPr="00E116B6">
        <w:rPr>
          <w:lang w:val="en-GB"/>
        </w:rPr>
        <w:t xml:space="preserve">(see </w:t>
      </w:r>
      <w:r w:rsidRPr="00E116B6">
        <w:rPr>
          <w:i/>
          <w:lang w:val="en-GB"/>
        </w:rPr>
        <w:t>Gigolashvili</w:t>
      </w:r>
      <w:r w:rsidRPr="00E116B6">
        <w:rPr>
          <w:lang w:val="en-GB"/>
        </w:rPr>
        <w:t>, cited above, §</w:t>
      </w:r>
      <w:r w:rsidRPr="00E116B6" w:rsidR="0000400E">
        <w:rPr>
          <w:lang w:val="en-GB"/>
        </w:rPr>
        <w:t> </w:t>
      </w:r>
      <w:r w:rsidRPr="00E116B6">
        <w:rPr>
          <w:lang w:val="en-GB"/>
        </w:rPr>
        <w:t>36).</w:t>
      </w:r>
    </w:p>
    <w:p w:rsidRPr="00E116B6" w:rsidR="002D401F" w:rsidP="00E116B6" w:rsidRDefault="002D401F">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117</w:t>
      </w:r>
      <w:r w:rsidRPr="00E116B6">
        <w:rPr>
          <w:lang w:val="en-GB"/>
        </w:rPr>
        <w:fldChar w:fldCharType="end"/>
      </w:r>
      <w:r w:rsidRPr="00E116B6">
        <w:rPr>
          <w:lang w:val="en-GB"/>
        </w:rPr>
        <w:t>.  There has thus been a violati</w:t>
      </w:r>
      <w:r w:rsidRPr="00E116B6" w:rsidR="006555F4">
        <w:rPr>
          <w:lang w:val="en-GB"/>
        </w:rPr>
        <w:t xml:space="preserve">on </w:t>
      </w:r>
      <w:r w:rsidRPr="00E116B6">
        <w:rPr>
          <w:lang w:val="en-GB"/>
        </w:rPr>
        <w:t>of Article 5 § 1 of the Conventi</w:t>
      </w:r>
      <w:r w:rsidRPr="00E116B6" w:rsidR="006555F4">
        <w:rPr>
          <w:lang w:val="en-GB"/>
        </w:rPr>
        <w:t xml:space="preserve">on </w:t>
      </w:r>
      <w:r w:rsidRPr="00E116B6">
        <w:rPr>
          <w:lang w:val="en-GB"/>
        </w:rPr>
        <w:t>in respect of that period of detention.</w:t>
      </w:r>
    </w:p>
    <w:p w:rsidRPr="00E116B6" w:rsidR="00014566" w:rsidP="00E116B6" w:rsidRDefault="002D401F">
      <w:pPr>
        <w:pStyle w:val="ECHRHeading1"/>
        <w:rPr>
          <w:lang w:val="en-GB"/>
        </w:rPr>
      </w:pPr>
      <w:r w:rsidRPr="00E116B6">
        <w:rPr>
          <w:lang w:val="en-GB"/>
        </w:rPr>
        <w:t>III</w:t>
      </w:r>
      <w:r w:rsidRPr="00E116B6" w:rsidR="00014566">
        <w:rPr>
          <w:lang w:val="en-GB"/>
        </w:rPr>
        <w:t xml:space="preserve">.  ALLEGED VIOLATION OF ARTICLE </w:t>
      </w:r>
      <w:r w:rsidRPr="00E116B6">
        <w:rPr>
          <w:lang w:val="en-GB"/>
        </w:rPr>
        <w:t xml:space="preserve">5 </w:t>
      </w:r>
      <w:r w:rsidRPr="00E116B6">
        <w:rPr>
          <w:rFonts w:cstheme="majorHAnsi"/>
          <w:lang w:val="en-GB"/>
        </w:rPr>
        <w:t>§</w:t>
      </w:r>
      <w:r w:rsidRPr="00E116B6">
        <w:rPr>
          <w:lang w:val="en-GB"/>
        </w:rPr>
        <w:t xml:space="preserve"> </w:t>
      </w:r>
      <w:r w:rsidRPr="00E116B6" w:rsidR="000D5649">
        <w:rPr>
          <w:lang w:val="en-GB"/>
        </w:rPr>
        <w:t>3</w:t>
      </w:r>
      <w:r w:rsidRPr="00E116B6" w:rsidR="00014566">
        <w:rPr>
          <w:lang w:val="en-GB"/>
        </w:rPr>
        <w:t xml:space="preserve"> OF THE CONVENTION</w:t>
      </w:r>
    </w:p>
    <w:p w:rsidRPr="00E116B6" w:rsidR="00014566" w:rsidP="00E116B6" w:rsidRDefault="00570E7B">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118</w:t>
      </w:r>
      <w:r w:rsidRPr="00E116B6">
        <w:rPr>
          <w:lang w:val="en-GB"/>
        </w:rPr>
        <w:fldChar w:fldCharType="end"/>
      </w:r>
      <w:r w:rsidRPr="00E116B6" w:rsidR="00014566">
        <w:rPr>
          <w:lang w:val="en-GB"/>
        </w:rPr>
        <w:t>.  </w:t>
      </w:r>
      <w:r w:rsidRPr="00E116B6" w:rsidR="000D5649">
        <w:rPr>
          <w:lang w:val="en-GB"/>
        </w:rPr>
        <w:t>The applicant</w:t>
      </w:r>
      <w:r w:rsidRPr="00E116B6" w:rsidR="00B96A76">
        <w:rPr>
          <w:lang w:val="en-GB"/>
        </w:rPr>
        <w:t>s</w:t>
      </w:r>
      <w:r w:rsidRPr="00E116B6" w:rsidR="000D5649">
        <w:rPr>
          <w:lang w:val="en-GB"/>
        </w:rPr>
        <w:t xml:space="preserve"> complained that the court decisions </w:t>
      </w:r>
      <w:r w:rsidRPr="00E116B6" w:rsidR="00B96A76">
        <w:rPr>
          <w:lang w:val="en-GB"/>
        </w:rPr>
        <w:t>extending their pre-trial detenti</w:t>
      </w:r>
      <w:r w:rsidRPr="00E116B6" w:rsidR="006555F4">
        <w:rPr>
          <w:lang w:val="en-GB"/>
        </w:rPr>
        <w:t xml:space="preserve">on </w:t>
      </w:r>
      <w:r w:rsidRPr="00E116B6" w:rsidR="00B96A76">
        <w:rPr>
          <w:lang w:val="en-GB"/>
        </w:rPr>
        <w:t xml:space="preserve">from </w:t>
      </w:r>
      <w:r w:rsidRPr="00E116B6" w:rsidR="009D7AC5">
        <w:rPr>
          <w:lang w:val="en-GB"/>
        </w:rPr>
        <w:t xml:space="preserve">10 </w:t>
      </w:r>
      <w:r w:rsidRPr="00E116B6" w:rsidR="00B96A76">
        <w:rPr>
          <w:lang w:val="en-GB"/>
        </w:rPr>
        <w:t>November 2004 onwards</w:t>
      </w:r>
      <w:r w:rsidRPr="00E116B6" w:rsidR="000D5649">
        <w:rPr>
          <w:lang w:val="en-GB"/>
        </w:rPr>
        <w:t xml:space="preserve"> </w:t>
      </w:r>
      <w:r w:rsidRPr="00E116B6" w:rsidR="00D33FB9">
        <w:rPr>
          <w:lang w:val="en-GB"/>
        </w:rPr>
        <w:t xml:space="preserve">lacked </w:t>
      </w:r>
      <w:r w:rsidRPr="00E116B6" w:rsidR="000D5649">
        <w:rPr>
          <w:lang w:val="en-GB"/>
        </w:rPr>
        <w:t>proper reason</w:t>
      </w:r>
      <w:r w:rsidRPr="00E116B6" w:rsidR="00D33FB9">
        <w:rPr>
          <w:lang w:val="en-GB"/>
        </w:rPr>
        <w:t>ing</w:t>
      </w:r>
      <w:r w:rsidRPr="00E116B6" w:rsidR="000D5649">
        <w:rPr>
          <w:lang w:val="en-GB"/>
        </w:rPr>
        <w:t xml:space="preserve">. </w:t>
      </w:r>
      <w:r w:rsidRPr="00E116B6" w:rsidR="00B96A76">
        <w:rPr>
          <w:lang w:val="en-GB"/>
        </w:rPr>
        <w:t>They</w:t>
      </w:r>
      <w:r w:rsidRPr="00E116B6" w:rsidR="000D5649">
        <w:rPr>
          <w:lang w:val="en-GB"/>
        </w:rPr>
        <w:t xml:space="preserve"> relied </w:t>
      </w:r>
      <w:r w:rsidRPr="00E116B6" w:rsidR="006555F4">
        <w:rPr>
          <w:lang w:val="en-GB"/>
        </w:rPr>
        <w:t xml:space="preserve">on </w:t>
      </w:r>
      <w:r w:rsidRPr="00E116B6" w:rsidR="000D5649">
        <w:rPr>
          <w:lang w:val="en-GB"/>
        </w:rPr>
        <w:t>Article 5 § 3 of the Conventi</w:t>
      </w:r>
      <w:r w:rsidRPr="00E116B6" w:rsidR="006555F4">
        <w:rPr>
          <w:lang w:val="en-GB"/>
        </w:rPr>
        <w:t xml:space="preserve">on </w:t>
      </w:r>
      <w:r w:rsidRPr="00E116B6" w:rsidR="000D5649">
        <w:rPr>
          <w:lang w:val="en-GB"/>
        </w:rPr>
        <w:t>which reads, in its relevant part, as follows</w:t>
      </w:r>
      <w:r w:rsidRPr="00E116B6" w:rsidR="00014566">
        <w:rPr>
          <w:lang w:val="en-GB"/>
        </w:rPr>
        <w:t>.</w:t>
      </w:r>
    </w:p>
    <w:p w:rsidRPr="00E116B6" w:rsidR="000D5649" w:rsidP="00E116B6" w:rsidRDefault="000D5649">
      <w:pPr>
        <w:pStyle w:val="ECHRParaQuote"/>
        <w:rPr>
          <w:lang w:val="en-GB"/>
        </w:rPr>
      </w:pPr>
      <w:r w:rsidRPr="00E116B6">
        <w:rPr>
          <w:lang w:val="en-GB"/>
        </w:rPr>
        <w:t>“Everyone arrested or detained in accordance with the provisions of paragraph</w:t>
      </w:r>
      <w:r w:rsidRPr="00E116B6" w:rsidR="00665943">
        <w:rPr>
          <w:lang w:val="en-GB"/>
        </w:rPr>
        <w:t> </w:t>
      </w:r>
      <w:r w:rsidRPr="00E116B6">
        <w:rPr>
          <w:lang w:val="en-GB"/>
        </w:rPr>
        <w:t>1</w:t>
      </w:r>
      <w:r w:rsidRPr="00E116B6" w:rsidR="0000400E">
        <w:rPr>
          <w:lang w:val="en-GB"/>
        </w:rPr>
        <w:t> </w:t>
      </w:r>
      <w:r w:rsidRPr="00E116B6">
        <w:rPr>
          <w:lang w:val="en-GB"/>
        </w:rPr>
        <w:t>(c)</w:t>
      </w:r>
      <w:r w:rsidRPr="00E116B6" w:rsidR="0000400E">
        <w:rPr>
          <w:lang w:val="en-GB"/>
        </w:rPr>
        <w:t> </w:t>
      </w:r>
      <w:r w:rsidRPr="00E116B6">
        <w:rPr>
          <w:lang w:val="en-GB"/>
        </w:rPr>
        <w:t>of this</w:t>
      </w:r>
      <w:r w:rsidRPr="00E116B6" w:rsidR="0000400E">
        <w:rPr>
          <w:lang w:val="en-GB"/>
        </w:rPr>
        <w:t xml:space="preserve"> </w:t>
      </w:r>
      <w:r w:rsidRPr="00E116B6">
        <w:rPr>
          <w:lang w:val="en-GB"/>
        </w:rPr>
        <w:t>Article shall be ... entitled to trial within a reasonable time or to release pending trial. Release may be conditioned by guarantees to appear for trial.”</w:t>
      </w:r>
    </w:p>
    <w:p w:rsidRPr="00E116B6" w:rsidR="00AA78B0" w:rsidP="00E116B6" w:rsidRDefault="00AA78B0">
      <w:pPr>
        <w:pStyle w:val="ECHRHeading2"/>
        <w:rPr>
          <w:lang w:val="en-GB"/>
        </w:rPr>
      </w:pPr>
      <w:r w:rsidRPr="00E116B6">
        <w:rPr>
          <w:lang w:val="en-GB"/>
        </w:rPr>
        <w:t>A.  Admissibility</w:t>
      </w:r>
    </w:p>
    <w:p w:rsidRPr="00E116B6" w:rsidR="00AA78B0" w:rsidP="00E116B6" w:rsidRDefault="00AA78B0">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119</w:t>
      </w:r>
      <w:r w:rsidRPr="00E116B6">
        <w:rPr>
          <w:lang w:val="en-GB"/>
        </w:rPr>
        <w:fldChar w:fldCharType="end"/>
      </w:r>
      <w:r w:rsidRPr="00E116B6">
        <w:rPr>
          <w:lang w:val="en-GB"/>
        </w:rPr>
        <w:t>.  The Court notes that this complaint is not manifestly ill</w:t>
      </w:r>
      <w:r w:rsidRPr="00E116B6">
        <w:rPr>
          <w:lang w:val="en-GB"/>
        </w:rPr>
        <w:noBreakHyphen/>
        <w:t xml:space="preserve">founded within the meaning of Article 35 § 3 (a) of the Convention. It further notes that it is not inadmissible </w:t>
      </w:r>
      <w:r w:rsidRPr="00E116B6" w:rsidR="006555F4">
        <w:rPr>
          <w:lang w:val="en-GB"/>
        </w:rPr>
        <w:t xml:space="preserve">on </w:t>
      </w:r>
      <w:r w:rsidRPr="00E116B6">
        <w:rPr>
          <w:lang w:val="en-GB"/>
        </w:rPr>
        <w:t>any other grounds. It must therefore be declared admissible.</w:t>
      </w:r>
    </w:p>
    <w:p w:rsidRPr="00E116B6" w:rsidR="00AA78B0" w:rsidP="00E116B6" w:rsidRDefault="00AA78B0">
      <w:pPr>
        <w:pStyle w:val="ECHRHeading2"/>
        <w:rPr>
          <w:lang w:val="en-GB"/>
        </w:rPr>
      </w:pPr>
      <w:r w:rsidRPr="00E116B6">
        <w:rPr>
          <w:lang w:val="en-GB"/>
        </w:rPr>
        <w:t>B.  Merits</w:t>
      </w:r>
    </w:p>
    <w:p w:rsidRPr="00E116B6" w:rsidR="004B00C7" w:rsidP="00E116B6" w:rsidRDefault="00BD03AB">
      <w:pPr>
        <w:pStyle w:val="ECHRHeading3"/>
        <w:rPr>
          <w:lang w:val="en-GB"/>
        </w:rPr>
      </w:pPr>
      <w:r w:rsidRPr="00E116B6">
        <w:rPr>
          <w:lang w:val="en-GB"/>
        </w:rPr>
        <w:t>1.  </w:t>
      </w:r>
      <w:r w:rsidRPr="00E116B6" w:rsidR="004B00C7">
        <w:rPr>
          <w:lang w:val="en-GB"/>
        </w:rPr>
        <w:t>The parties</w:t>
      </w:r>
      <w:r w:rsidRPr="00E116B6" w:rsidR="00E116B6">
        <w:rPr>
          <w:lang w:val="en-GB"/>
        </w:rPr>
        <w:t>’</w:t>
      </w:r>
      <w:r w:rsidRPr="00E116B6" w:rsidR="004B00C7">
        <w:rPr>
          <w:lang w:val="en-GB"/>
        </w:rPr>
        <w:t xml:space="preserve"> arguments</w:t>
      </w:r>
    </w:p>
    <w:p w:rsidRPr="00E116B6" w:rsidR="00AC1180" w:rsidP="00E116B6" w:rsidRDefault="004B00C7">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120</w:t>
      </w:r>
      <w:r w:rsidRPr="00E116B6">
        <w:rPr>
          <w:lang w:val="en-GB"/>
        </w:rPr>
        <w:fldChar w:fldCharType="end"/>
      </w:r>
      <w:r w:rsidRPr="00E116B6">
        <w:rPr>
          <w:lang w:val="en-GB"/>
        </w:rPr>
        <w:t>.  The Government admitted that at the material time of the events in questi</w:t>
      </w:r>
      <w:r w:rsidRPr="00E116B6" w:rsidR="006555F4">
        <w:rPr>
          <w:lang w:val="en-GB"/>
        </w:rPr>
        <w:t xml:space="preserve">on </w:t>
      </w:r>
      <w:r w:rsidRPr="00E116B6">
        <w:rPr>
          <w:lang w:val="en-GB"/>
        </w:rPr>
        <w:t xml:space="preserve">the relevant judicial practice had not been focused </w:t>
      </w:r>
      <w:r w:rsidRPr="00E116B6" w:rsidR="006555F4">
        <w:rPr>
          <w:lang w:val="en-GB"/>
        </w:rPr>
        <w:t xml:space="preserve">on </w:t>
      </w:r>
      <w:r w:rsidRPr="00E116B6">
        <w:rPr>
          <w:lang w:val="en-GB"/>
        </w:rPr>
        <w:t>providing case-specific arguments in favour of the authorisati</w:t>
      </w:r>
      <w:r w:rsidRPr="00E116B6" w:rsidR="006555F4">
        <w:rPr>
          <w:lang w:val="en-GB"/>
        </w:rPr>
        <w:t xml:space="preserve">on </w:t>
      </w:r>
      <w:r w:rsidRPr="00E116B6">
        <w:rPr>
          <w:lang w:val="en-GB"/>
        </w:rPr>
        <w:t>of detenti</w:t>
      </w:r>
      <w:r w:rsidRPr="00E116B6" w:rsidR="006555F4">
        <w:rPr>
          <w:lang w:val="en-GB"/>
        </w:rPr>
        <w:t xml:space="preserve">on on </w:t>
      </w:r>
      <w:r w:rsidRPr="00E116B6">
        <w:rPr>
          <w:lang w:val="en-GB"/>
        </w:rPr>
        <w:t>remand. However, th</w:t>
      </w:r>
      <w:r w:rsidRPr="00E116B6" w:rsidR="00D33FB9">
        <w:rPr>
          <w:lang w:val="en-GB"/>
        </w:rPr>
        <w:t>e</w:t>
      </w:r>
      <w:r w:rsidRPr="00E116B6">
        <w:rPr>
          <w:lang w:val="en-GB"/>
        </w:rPr>
        <w:t xml:space="preserve"> frequent lack of specific arguments in detenti</w:t>
      </w:r>
      <w:r w:rsidRPr="00E116B6" w:rsidR="006555F4">
        <w:rPr>
          <w:lang w:val="en-GB"/>
        </w:rPr>
        <w:t xml:space="preserve">on </w:t>
      </w:r>
      <w:r w:rsidRPr="00E116B6">
        <w:rPr>
          <w:lang w:val="en-GB"/>
        </w:rPr>
        <w:t xml:space="preserve">orders had been counterbalanced by the fact that parties would </w:t>
      </w:r>
      <w:r w:rsidRPr="00E116B6" w:rsidR="00564F0E">
        <w:rPr>
          <w:lang w:val="en-GB"/>
        </w:rPr>
        <w:t xml:space="preserve">normally </w:t>
      </w:r>
      <w:r w:rsidRPr="00E116B6">
        <w:rPr>
          <w:lang w:val="en-GB"/>
        </w:rPr>
        <w:t xml:space="preserve">have </w:t>
      </w:r>
      <w:r w:rsidRPr="00E116B6" w:rsidR="00564F0E">
        <w:rPr>
          <w:lang w:val="en-GB"/>
        </w:rPr>
        <w:t xml:space="preserve">made </w:t>
      </w:r>
      <w:r w:rsidRPr="00E116B6">
        <w:rPr>
          <w:lang w:val="en-GB"/>
        </w:rPr>
        <w:t xml:space="preserve">all their relevant arguments before </w:t>
      </w:r>
      <w:r w:rsidRPr="00E116B6" w:rsidR="00564F0E">
        <w:rPr>
          <w:lang w:val="en-GB"/>
        </w:rPr>
        <w:t xml:space="preserve">the </w:t>
      </w:r>
      <w:r w:rsidRPr="00E116B6">
        <w:rPr>
          <w:lang w:val="en-GB"/>
        </w:rPr>
        <w:t>domestic courts orally. The Government added that such a practice already belonged to the past and that domestic courts had started providing relevant</w:t>
      </w:r>
      <w:r w:rsidRPr="00E116B6" w:rsidR="00D33FB9">
        <w:rPr>
          <w:lang w:val="en-GB"/>
        </w:rPr>
        <w:t>,</w:t>
      </w:r>
      <w:r w:rsidRPr="00E116B6">
        <w:rPr>
          <w:lang w:val="en-GB"/>
        </w:rPr>
        <w:t xml:space="preserve"> case-specific reasons in their detenti</w:t>
      </w:r>
      <w:r w:rsidRPr="00E116B6" w:rsidR="006555F4">
        <w:rPr>
          <w:lang w:val="en-GB"/>
        </w:rPr>
        <w:t xml:space="preserve">on </w:t>
      </w:r>
      <w:r w:rsidRPr="00E116B6">
        <w:rPr>
          <w:lang w:val="en-GB"/>
        </w:rPr>
        <w:t>orders.</w:t>
      </w:r>
    </w:p>
    <w:p w:rsidRPr="00E116B6" w:rsidR="00AC1180" w:rsidP="00E116B6" w:rsidRDefault="004B00C7">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121</w:t>
      </w:r>
      <w:r w:rsidRPr="00E116B6">
        <w:rPr>
          <w:lang w:val="en-GB"/>
        </w:rPr>
        <w:fldChar w:fldCharType="end"/>
      </w:r>
      <w:r w:rsidRPr="00E116B6">
        <w:rPr>
          <w:lang w:val="en-GB"/>
        </w:rPr>
        <w:t>.  The applicants maintained that the domestic courts</w:t>
      </w:r>
      <w:r w:rsidRPr="00E116B6" w:rsidR="00DF43F4">
        <w:rPr>
          <w:lang w:val="en-GB"/>
        </w:rPr>
        <w:t xml:space="preserve"> had omitted </w:t>
      </w:r>
      <w:r w:rsidRPr="00E116B6">
        <w:rPr>
          <w:lang w:val="en-GB"/>
        </w:rPr>
        <w:t xml:space="preserve">to </w:t>
      </w:r>
      <w:r w:rsidRPr="00E116B6" w:rsidR="00DF43F4">
        <w:rPr>
          <w:lang w:val="en-GB"/>
        </w:rPr>
        <w:t xml:space="preserve">provide </w:t>
      </w:r>
      <w:r w:rsidRPr="00E116B6">
        <w:rPr>
          <w:lang w:val="en-GB"/>
        </w:rPr>
        <w:t xml:space="preserve">any concrete reasons why </w:t>
      </w:r>
      <w:r w:rsidRPr="00E116B6" w:rsidR="00DF43F4">
        <w:rPr>
          <w:lang w:val="en-GB"/>
        </w:rPr>
        <w:t xml:space="preserve">their </w:t>
      </w:r>
      <w:r w:rsidRPr="00E116B6">
        <w:rPr>
          <w:lang w:val="en-GB"/>
        </w:rPr>
        <w:t>continued detenti</w:t>
      </w:r>
      <w:r w:rsidRPr="00E116B6" w:rsidR="006555F4">
        <w:rPr>
          <w:lang w:val="en-GB"/>
        </w:rPr>
        <w:t xml:space="preserve">on </w:t>
      </w:r>
      <w:r w:rsidRPr="00E116B6">
        <w:rPr>
          <w:lang w:val="en-GB"/>
        </w:rPr>
        <w:t>had been strictly necessary in the particular circumstances of their case</w:t>
      </w:r>
      <w:r w:rsidRPr="00E116B6" w:rsidR="00DF43F4">
        <w:rPr>
          <w:lang w:val="en-GB"/>
        </w:rPr>
        <w:t>. That</w:t>
      </w:r>
      <w:r w:rsidRPr="00E116B6" w:rsidR="00055277">
        <w:rPr>
          <w:lang w:val="en-GB"/>
        </w:rPr>
        <w:t xml:space="preserve"> </w:t>
      </w:r>
      <w:r w:rsidRPr="00E116B6" w:rsidR="00DF43F4">
        <w:rPr>
          <w:lang w:val="en-GB"/>
        </w:rPr>
        <w:t>omissi</w:t>
      </w:r>
      <w:r w:rsidRPr="00E116B6" w:rsidR="006555F4">
        <w:rPr>
          <w:lang w:val="en-GB"/>
        </w:rPr>
        <w:t xml:space="preserve">on </w:t>
      </w:r>
      <w:r w:rsidRPr="00E116B6">
        <w:rPr>
          <w:lang w:val="en-GB"/>
        </w:rPr>
        <w:t xml:space="preserve">had amounted to a breach of Article 5 </w:t>
      </w:r>
      <w:r w:rsidRPr="00E116B6">
        <w:rPr>
          <w:rFonts w:cstheme="minorHAnsi"/>
          <w:lang w:val="en-GB"/>
        </w:rPr>
        <w:t>§</w:t>
      </w:r>
      <w:r w:rsidRPr="00E116B6">
        <w:rPr>
          <w:lang w:val="en-GB"/>
        </w:rPr>
        <w:t xml:space="preserve"> 3 of the Convention.</w:t>
      </w:r>
    </w:p>
    <w:p w:rsidRPr="00E116B6" w:rsidR="004B00C7" w:rsidP="00E116B6" w:rsidRDefault="00BD03AB">
      <w:pPr>
        <w:pStyle w:val="ECHRHeading3"/>
        <w:rPr>
          <w:lang w:val="en-GB"/>
        </w:rPr>
      </w:pPr>
      <w:r w:rsidRPr="00E116B6">
        <w:rPr>
          <w:lang w:val="en-GB"/>
        </w:rPr>
        <w:t>2.  </w:t>
      </w:r>
      <w:r w:rsidRPr="00E116B6" w:rsidR="004B00C7">
        <w:rPr>
          <w:lang w:val="en-GB"/>
        </w:rPr>
        <w:t>The Court</w:t>
      </w:r>
      <w:r w:rsidRPr="00E116B6" w:rsidR="00E116B6">
        <w:rPr>
          <w:lang w:val="en-GB"/>
        </w:rPr>
        <w:t>’</w:t>
      </w:r>
      <w:r w:rsidRPr="00E116B6" w:rsidR="004B00C7">
        <w:rPr>
          <w:lang w:val="en-GB"/>
        </w:rPr>
        <w:t>s assessment</w:t>
      </w:r>
    </w:p>
    <w:p w:rsidRPr="00E116B6" w:rsidR="00AC1180" w:rsidP="00E116B6" w:rsidRDefault="00BF3FEF">
      <w:pPr>
        <w:pStyle w:val="ECHRPara"/>
        <w:rPr>
          <w:snapToGrid w:val="0"/>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122</w:t>
      </w:r>
      <w:r w:rsidRPr="00E116B6">
        <w:rPr>
          <w:lang w:val="en-GB"/>
        </w:rPr>
        <w:fldChar w:fldCharType="end"/>
      </w:r>
      <w:r w:rsidRPr="00E116B6">
        <w:rPr>
          <w:lang w:val="en-GB"/>
        </w:rPr>
        <w:t xml:space="preserve">.  The Court </w:t>
      </w:r>
      <w:r w:rsidRPr="00E116B6" w:rsidR="00564F0E">
        <w:rPr>
          <w:lang w:val="en-GB"/>
        </w:rPr>
        <w:t xml:space="preserve">notes </w:t>
      </w:r>
      <w:r w:rsidRPr="00E116B6">
        <w:rPr>
          <w:lang w:val="en-GB"/>
        </w:rPr>
        <w:t>that the reasonableness of a detenti</w:t>
      </w:r>
      <w:r w:rsidRPr="00E116B6" w:rsidR="006555F4">
        <w:rPr>
          <w:lang w:val="en-GB"/>
        </w:rPr>
        <w:t xml:space="preserve">on </w:t>
      </w:r>
      <w:r w:rsidRPr="00E116B6">
        <w:rPr>
          <w:lang w:val="en-GB"/>
        </w:rPr>
        <w:t xml:space="preserve">period cannot be assessed </w:t>
      </w:r>
      <w:r w:rsidRPr="00E116B6">
        <w:rPr>
          <w:i/>
          <w:lang w:val="en-GB"/>
        </w:rPr>
        <w:t>in abstracto</w:t>
      </w:r>
      <w:r w:rsidRPr="00E116B6">
        <w:rPr>
          <w:lang w:val="en-GB"/>
        </w:rPr>
        <w:t xml:space="preserve">. Rather, it is essentially </w:t>
      </w:r>
      <w:r w:rsidRPr="00E116B6" w:rsidR="006555F4">
        <w:rPr>
          <w:lang w:val="en-GB"/>
        </w:rPr>
        <w:t xml:space="preserve">on </w:t>
      </w:r>
      <w:r w:rsidRPr="00E116B6">
        <w:rPr>
          <w:lang w:val="en-GB"/>
        </w:rPr>
        <w:t>the basis of the reasons given in the national judicial authorities</w:t>
      </w:r>
      <w:r w:rsidRPr="00E116B6" w:rsidR="00E116B6">
        <w:rPr>
          <w:lang w:val="en-GB"/>
        </w:rPr>
        <w:t>’</w:t>
      </w:r>
      <w:r w:rsidRPr="00E116B6">
        <w:rPr>
          <w:lang w:val="en-GB"/>
        </w:rPr>
        <w:t xml:space="preserve"> </w:t>
      </w:r>
      <w:r w:rsidRPr="00E116B6" w:rsidR="00564F0E">
        <w:rPr>
          <w:lang w:val="en-GB"/>
        </w:rPr>
        <w:t xml:space="preserve">relevant decisions </w:t>
      </w:r>
      <w:r w:rsidRPr="00E116B6">
        <w:rPr>
          <w:lang w:val="en-GB"/>
        </w:rPr>
        <w:t>and the arguments made by applicant</w:t>
      </w:r>
      <w:r w:rsidRPr="00E116B6" w:rsidR="00344E44">
        <w:rPr>
          <w:lang w:val="en-GB"/>
        </w:rPr>
        <w:t>s</w:t>
      </w:r>
      <w:r w:rsidRPr="00E116B6">
        <w:rPr>
          <w:lang w:val="en-GB"/>
        </w:rPr>
        <w:t xml:space="preserve"> in </w:t>
      </w:r>
      <w:r w:rsidRPr="00E116B6" w:rsidR="00344E44">
        <w:rPr>
          <w:lang w:val="en-GB"/>
        </w:rPr>
        <w:t xml:space="preserve">their </w:t>
      </w:r>
      <w:r w:rsidRPr="00E116B6">
        <w:rPr>
          <w:lang w:val="en-GB"/>
        </w:rPr>
        <w:t>applications for release that the Court is called up</w:t>
      </w:r>
      <w:r w:rsidRPr="00E116B6" w:rsidR="006555F4">
        <w:rPr>
          <w:lang w:val="en-GB"/>
        </w:rPr>
        <w:t xml:space="preserve">on </w:t>
      </w:r>
      <w:r w:rsidRPr="00E116B6">
        <w:rPr>
          <w:lang w:val="en-GB"/>
        </w:rPr>
        <w:t>to decide whether or not detenti</w:t>
      </w:r>
      <w:r w:rsidRPr="00E116B6" w:rsidR="006555F4">
        <w:rPr>
          <w:lang w:val="en-GB"/>
        </w:rPr>
        <w:t xml:space="preserve">on on </w:t>
      </w:r>
      <w:r w:rsidRPr="00E116B6">
        <w:rPr>
          <w:lang w:val="en-GB"/>
        </w:rPr>
        <w:t>remand was justified under Article 5 § 3 of the Convention. Those decisions must contain “relevant” and “sufficient” reasoning and address specific features of the given case in order to justify the deprivati</w:t>
      </w:r>
      <w:r w:rsidRPr="00E116B6" w:rsidR="006555F4">
        <w:rPr>
          <w:lang w:val="en-GB"/>
        </w:rPr>
        <w:t xml:space="preserve">on </w:t>
      </w:r>
      <w:r w:rsidRPr="00E116B6">
        <w:rPr>
          <w:lang w:val="en-GB"/>
        </w:rPr>
        <w:t>of liberty (see</w:t>
      </w:r>
      <w:r w:rsidRPr="00E116B6" w:rsidR="00982C25">
        <w:rPr>
          <w:lang w:val="en-GB"/>
        </w:rPr>
        <w:t xml:space="preserve"> </w:t>
      </w:r>
      <w:r w:rsidRPr="00E116B6" w:rsidR="00982C25">
        <w:rPr>
          <w:i/>
        </w:rPr>
        <w:t>Buzadji v.</w:t>
      </w:r>
      <w:r w:rsidRPr="00E116B6" w:rsidR="00A05C4D">
        <w:rPr>
          <w:i/>
        </w:rPr>
        <w:t> </w:t>
      </w:r>
      <w:r w:rsidRPr="00E116B6" w:rsidR="00982C25">
        <w:rPr>
          <w:i/>
        </w:rPr>
        <w:t>the</w:t>
      </w:r>
      <w:r w:rsidRPr="00E116B6" w:rsidR="00A05C4D">
        <w:rPr>
          <w:i/>
        </w:rPr>
        <w:t> </w:t>
      </w:r>
      <w:r w:rsidRPr="00E116B6" w:rsidR="00982C25">
        <w:rPr>
          <w:i/>
        </w:rPr>
        <w:t xml:space="preserve">Republic of Moldova </w:t>
      </w:r>
      <w:r w:rsidRPr="00E116B6" w:rsidR="00982C25">
        <w:rPr>
          <w:lang w:val="en-GB"/>
        </w:rPr>
        <w:t>[GC], no. 23755/07</w:t>
      </w:r>
      <w:r w:rsidRPr="00E116B6" w:rsidR="00982C25">
        <w:rPr>
          <w:snapToGrid w:val="0"/>
          <w:lang w:val="en-GB"/>
        </w:rPr>
        <w:t>, §</w:t>
      </w:r>
      <w:r w:rsidRPr="00E116B6" w:rsidR="00A05C4D">
        <w:rPr>
          <w:snapToGrid w:val="0"/>
          <w:lang w:val="en-GB"/>
        </w:rPr>
        <w:t> </w:t>
      </w:r>
      <w:r w:rsidRPr="00E116B6" w:rsidR="00982C25">
        <w:rPr>
          <w:snapToGrid w:val="0"/>
          <w:lang w:val="en-GB"/>
        </w:rPr>
        <w:t xml:space="preserve">87, </w:t>
      </w:r>
      <w:r w:rsidRPr="00E116B6" w:rsidR="00982C25">
        <w:rPr>
          <w:lang w:val="en-GB"/>
        </w:rPr>
        <w:t>ECHR</w:t>
      </w:r>
      <w:r w:rsidRPr="00E116B6" w:rsidR="00BD03AB">
        <w:rPr>
          <w:snapToGrid w:val="0"/>
          <w:lang w:val="en-GB"/>
        </w:rPr>
        <w:t xml:space="preserve"> </w:t>
      </w:r>
      <w:r w:rsidRPr="00E116B6" w:rsidR="00982C25">
        <w:rPr>
          <w:snapToGrid w:val="0"/>
          <w:lang w:val="en-GB"/>
        </w:rPr>
        <w:t>2016</w:t>
      </w:r>
      <w:r w:rsidRPr="00E116B6" w:rsidR="00BD03AB">
        <w:rPr>
          <w:snapToGrid w:val="0"/>
          <w:lang w:val="en-GB"/>
        </w:rPr>
        <w:t xml:space="preserve"> </w:t>
      </w:r>
      <w:r w:rsidRPr="00E116B6" w:rsidR="00982C25">
        <w:rPr>
          <w:lang w:val="en-GB"/>
        </w:rPr>
        <w:t>(extracts)</w:t>
      </w:r>
      <w:r w:rsidRPr="00E116B6" w:rsidR="009C1D91">
        <w:rPr>
          <w:lang w:val="en-GB"/>
        </w:rPr>
        <w:t>;</w:t>
      </w:r>
      <w:r w:rsidRPr="00E116B6">
        <w:rPr>
          <w:lang w:val="en-GB"/>
        </w:rPr>
        <w:t xml:space="preserve"> </w:t>
      </w:r>
      <w:r w:rsidRPr="00E116B6">
        <w:rPr>
          <w:i/>
          <w:lang w:val="en-GB"/>
        </w:rPr>
        <w:t>Kudła v. Poland</w:t>
      </w:r>
      <w:r w:rsidRPr="00E116B6">
        <w:rPr>
          <w:lang w:val="en-GB"/>
        </w:rPr>
        <w:t xml:space="preserve"> [GC], no. 30210/96, §</w:t>
      </w:r>
      <w:r w:rsidRPr="00E116B6" w:rsidR="00A05C4D">
        <w:rPr>
          <w:lang w:val="en-GB"/>
        </w:rPr>
        <w:t> </w:t>
      </w:r>
      <w:r w:rsidRPr="00E116B6">
        <w:rPr>
          <w:lang w:val="en-GB"/>
        </w:rPr>
        <w:t>110, ECHR</w:t>
      </w:r>
      <w:r w:rsidRPr="00E116B6" w:rsidR="00A05C4D">
        <w:rPr>
          <w:lang w:val="en-GB"/>
        </w:rPr>
        <w:t> </w:t>
      </w:r>
      <w:r w:rsidRPr="00E116B6">
        <w:rPr>
          <w:lang w:val="en-GB"/>
        </w:rPr>
        <w:t>2000</w:t>
      </w:r>
      <w:r w:rsidRPr="00E116B6">
        <w:rPr>
          <w:rFonts w:ascii="MS Mincho" w:hAnsi="MS Mincho" w:eastAsia="MS Mincho" w:cs="MS Mincho"/>
          <w:lang w:val="en-GB"/>
        </w:rPr>
        <w:t>‑</w:t>
      </w:r>
      <w:r w:rsidRPr="00E116B6">
        <w:rPr>
          <w:lang w:val="en-GB"/>
        </w:rPr>
        <w:t>XI</w:t>
      </w:r>
      <w:r w:rsidRPr="00E116B6" w:rsidR="00BD368A">
        <w:rPr>
          <w:lang w:val="en-GB"/>
        </w:rPr>
        <w:t>, and</w:t>
      </w:r>
      <w:r w:rsidRPr="00E116B6">
        <w:rPr>
          <w:lang w:val="en-GB"/>
        </w:rPr>
        <w:t xml:space="preserve"> </w:t>
      </w:r>
      <w:r w:rsidRPr="00E116B6" w:rsidR="00BD03AB">
        <w:rPr>
          <w:i/>
          <w:lang w:val="en-GB"/>
        </w:rPr>
        <w:t>Michta v. </w:t>
      </w:r>
      <w:r w:rsidRPr="00E116B6">
        <w:rPr>
          <w:i/>
          <w:lang w:val="en-GB"/>
        </w:rPr>
        <w:t>Poland</w:t>
      </w:r>
      <w:r w:rsidRPr="00E116B6">
        <w:rPr>
          <w:lang w:val="en-GB"/>
        </w:rPr>
        <w:t>, no.</w:t>
      </w:r>
      <w:r w:rsidRPr="00E116B6" w:rsidR="0000400E">
        <w:rPr>
          <w:lang w:val="en-GB"/>
        </w:rPr>
        <w:t> </w:t>
      </w:r>
      <w:r w:rsidRPr="00E116B6">
        <w:rPr>
          <w:lang w:val="en-GB"/>
        </w:rPr>
        <w:t>13425/02, §§ 45 and 46, 4</w:t>
      </w:r>
      <w:r w:rsidRPr="00E116B6" w:rsidR="00A05C4D">
        <w:rPr>
          <w:lang w:val="en-GB"/>
        </w:rPr>
        <w:t> </w:t>
      </w:r>
      <w:r w:rsidRPr="00E116B6">
        <w:rPr>
          <w:lang w:val="en-GB"/>
        </w:rPr>
        <w:t>May 2006).</w:t>
      </w:r>
    </w:p>
    <w:p w:rsidRPr="00E116B6" w:rsidR="00A71C9C" w:rsidP="00E116B6" w:rsidRDefault="00905F49">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123</w:t>
      </w:r>
      <w:r w:rsidRPr="00E116B6">
        <w:rPr>
          <w:lang w:val="en-GB"/>
        </w:rPr>
        <w:fldChar w:fldCharType="end"/>
      </w:r>
      <w:r w:rsidRPr="00E116B6">
        <w:rPr>
          <w:lang w:val="en-GB"/>
        </w:rPr>
        <w:t>.  </w:t>
      </w:r>
      <w:r w:rsidRPr="00E116B6" w:rsidR="000058FC">
        <w:rPr>
          <w:lang w:val="en-GB"/>
        </w:rPr>
        <w:t>The Court observes that the applicant</w:t>
      </w:r>
      <w:r w:rsidRPr="00E116B6" w:rsidR="00CA1030">
        <w:rPr>
          <w:lang w:val="en-GB"/>
        </w:rPr>
        <w:t>s were</w:t>
      </w:r>
      <w:r w:rsidRPr="00E116B6" w:rsidR="000058FC">
        <w:rPr>
          <w:lang w:val="en-GB"/>
        </w:rPr>
        <w:t xml:space="preserve"> taken into custody </w:t>
      </w:r>
      <w:r w:rsidRPr="00E116B6" w:rsidR="006555F4">
        <w:rPr>
          <w:lang w:val="en-GB"/>
        </w:rPr>
        <w:t xml:space="preserve">on </w:t>
      </w:r>
      <w:r w:rsidRPr="00E116B6" w:rsidR="000058FC">
        <w:rPr>
          <w:lang w:val="en-GB"/>
        </w:rPr>
        <w:t xml:space="preserve">13 May 2004 and convicted at first instance </w:t>
      </w:r>
      <w:r w:rsidRPr="00E116B6" w:rsidR="006555F4">
        <w:rPr>
          <w:lang w:val="en-GB"/>
        </w:rPr>
        <w:t xml:space="preserve">on </w:t>
      </w:r>
      <w:r w:rsidRPr="00E116B6" w:rsidR="000058FC">
        <w:rPr>
          <w:lang w:val="en-GB"/>
        </w:rPr>
        <w:t xml:space="preserve">26 February 2007. </w:t>
      </w:r>
      <w:r w:rsidRPr="00E116B6" w:rsidR="00804FCB">
        <w:rPr>
          <w:lang w:val="en-GB"/>
        </w:rPr>
        <w:t>Hence</w:t>
      </w:r>
      <w:r w:rsidRPr="00E116B6" w:rsidR="000058FC">
        <w:rPr>
          <w:lang w:val="en-GB"/>
        </w:rPr>
        <w:t xml:space="preserve">, the </w:t>
      </w:r>
      <w:r w:rsidRPr="00E116B6" w:rsidR="00BF3FEF">
        <w:rPr>
          <w:lang w:val="en-GB"/>
        </w:rPr>
        <w:t xml:space="preserve">total </w:t>
      </w:r>
      <w:r w:rsidRPr="00E116B6" w:rsidR="000058FC">
        <w:rPr>
          <w:lang w:val="en-GB"/>
        </w:rPr>
        <w:t>period of detenti</w:t>
      </w:r>
      <w:r w:rsidRPr="00E116B6" w:rsidR="006555F4">
        <w:rPr>
          <w:lang w:val="en-GB"/>
        </w:rPr>
        <w:t xml:space="preserve">on </w:t>
      </w:r>
      <w:r w:rsidRPr="00E116B6" w:rsidR="000058FC">
        <w:rPr>
          <w:lang w:val="en-GB"/>
        </w:rPr>
        <w:t>for the purposes of Article 5 § 1 (c) of the Conventi</w:t>
      </w:r>
      <w:r w:rsidRPr="00E116B6" w:rsidR="006555F4">
        <w:rPr>
          <w:lang w:val="en-GB"/>
        </w:rPr>
        <w:t xml:space="preserve">on </w:t>
      </w:r>
      <w:r w:rsidRPr="00E116B6" w:rsidR="000058FC">
        <w:rPr>
          <w:lang w:val="en-GB"/>
        </w:rPr>
        <w:t xml:space="preserve">is </w:t>
      </w:r>
      <w:r w:rsidRPr="00E116B6" w:rsidR="00335E1C">
        <w:rPr>
          <w:lang w:val="en-GB"/>
        </w:rPr>
        <w:t>thirty-three</w:t>
      </w:r>
      <w:r w:rsidRPr="00E116B6" w:rsidR="000058FC">
        <w:rPr>
          <w:lang w:val="en-GB"/>
        </w:rPr>
        <w:t xml:space="preserve"> months and </w:t>
      </w:r>
      <w:r w:rsidRPr="00E116B6" w:rsidR="00335E1C">
        <w:rPr>
          <w:lang w:val="en-GB"/>
        </w:rPr>
        <w:t xml:space="preserve">thirteen </w:t>
      </w:r>
      <w:r w:rsidRPr="00E116B6" w:rsidR="000058FC">
        <w:rPr>
          <w:lang w:val="en-GB"/>
        </w:rPr>
        <w:t>days.</w:t>
      </w:r>
      <w:r w:rsidRPr="00E116B6">
        <w:rPr>
          <w:lang w:val="en-GB"/>
        </w:rPr>
        <w:t xml:space="preserve"> T</w:t>
      </w:r>
      <w:r w:rsidRPr="00E116B6" w:rsidR="00CA1030">
        <w:rPr>
          <w:lang w:val="en-GB"/>
        </w:rPr>
        <w:t>he applicants</w:t>
      </w:r>
      <w:r w:rsidRPr="00E116B6" w:rsidR="00E116B6">
        <w:rPr>
          <w:lang w:val="en-GB"/>
        </w:rPr>
        <w:t>’</w:t>
      </w:r>
      <w:r w:rsidRPr="00E116B6" w:rsidR="00BD03AB">
        <w:rPr>
          <w:lang w:val="en-GB"/>
        </w:rPr>
        <w:t xml:space="preserve"> </w:t>
      </w:r>
      <w:r w:rsidRPr="00E116B6">
        <w:rPr>
          <w:lang w:val="en-GB"/>
        </w:rPr>
        <w:t>pre</w:t>
      </w:r>
      <w:r w:rsidRPr="00E116B6" w:rsidR="00A05C4D">
        <w:rPr>
          <w:lang w:val="en-GB"/>
        </w:rPr>
        <w:noBreakHyphen/>
      </w:r>
      <w:r w:rsidRPr="00E116B6">
        <w:rPr>
          <w:lang w:val="en-GB"/>
        </w:rPr>
        <w:t xml:space="preserve">trial </w:t>
      </w:r>
      <w:r w:rsidRPr="00E116B6" w:rsidR="00CA1030">
        <w:rPr>
          <w:lang w:val="en-GB"/>
        </w:rPr>
        <w:t>detenti</w:t>
      </w:r>
      <w:r w:rsidRPr="00E116B6" w:rsidR="006555F4">
        <w:rPr>
          <w:lang w:val="en-GB"/>
        </w:rPr>
        <w:t xml:space="preserve">on </w:t>
      </w:r>
      <w:r w:rsidRPr="00E116B6" w:rsidR="00CA1030">
        <w:rPr>
          <w:lang w:val="en-GB"/>
        </w:rPr>
        <w:t xml:space="preserve">was initially </w:t>
      </w:r>
      <w:r w:rsidRPr="00E116B6" w:rsidR="004B00C7">
        <w:rPr>
          <w:lang w:val="en-GB"/>
        </w:rPr>
        <w:t>authorised</w:t>
      </w:r>
      <w:r w:rsidRPr="00E116B6" w:rsidR="00CA1030">
        <w:rPr>
          <w:lang w:val="en-GB"/>
        </w:rPr>
        <w:t xml:space="preserve"> by court decisions of 16 May and 27</w:t>
      </w:r>
      <w:r w:rsidRPr="00E116B6" w:rsidR="0000400E">
        <w:rPr>
          <w:lang w:val="en-GB"/>
        </w:rPr>
        <w:t> </w:t>
      </w:r>
      <w:r w:rsidRPr="00E116B6" w:rsidR="00CA1030">
        <w:rPr>
          <w:lang w:val="en-GB"/>
        </w:rPr>
        <w:t xml:space="preserve">May and 11 August 2004, </w:t>
      </w:r>
      <w:r w:rsidRPr="00E116B6" w:rsidR="00BF3FEF">
        <w:rPr>
          <w:lang w:val="en-GB"/>
        </w:rPr>
        <w:t>fixing</w:t>
      </w:r>
      <w:r w:rsidRPr="00E116B6" w:rsidR="00CA1030">
        <w:rPr>
          <w:lang w:val="en-GB"/>
        </w:rPr>
        <w:t xml:space="preserve"> 13 November 2004 as the date for the terminati</w:t>
      </w:r>
      <w:r w:rsidRPr="00E116B6" w:rsidR="006555F4">
        <w:rPr>
          <w:lang w:val="en-GB"/>
        </w:rPr>
        <w:t xml:space="preserve">on </w:t>
      </w:r>
      <w:r w:rsidRPr="00E116B6" w:rsidR="00CA1030">
        <w:rPr>
          <w:lang w:val="en-GB"/>
        </w:rPr>
        <w:t>of th</w:t>
      </w:r>
      <w:r w:rsidRPr="00E116B6" w:rsidR="00BF3FEF">
        <w:rPr>
          <w:lang w:val="en-GB"/>
        </w:rPr>
        <w:t>e</w:t>
      </w:r>
      <w:r w:rsidRPr="00E116B6" w:rsidR="00CA1030">
        <w:rPr>
          <w:lang w:val="en-GB"/>
        </w:rPr>
        <w:t xml:space="preserve"> preventive measure</w:t>
      </w:r>
      <w:r w:rsidRPr="00E116B6" w:rsidR="00BF3FEF">
        <w:rPr>
          <w:lang w:val="en-GB"/>
        </w:rPr>
        <w:t xml:space="preserve"> in question</w:t>
      </w:r>
      <w:r w:rsidRPr="00E116B6" w:rsidR="00CA1030">
        <w:rPr>
          <w:lang w:val="en-GB"/>
        </w:rPr>
        <w:t>. The applicants</w:t>
      </w:r>
      <w:r w:rsidRPr="00E116B6">
        <w:rPr>
          <w:lang w:val="en-GB"/>
        </w:rPr>
        <w:t>, however,</w:t>
      </w:r>
      <w:r w:rsidRPr="00E116B6" w:rsidR="00CA1030">
        <w:rPr>
          <w:lang w:val="en-GB"/>
        </w:rPr>
        <w:t xml:space="preserve"> call into questi</w:t>
      </w:r>
      <w:r w:rsidRPr="00E116B6" w:rsidR="006555F4">
        <w:rPr>
          <w:lang w:val="en-GB"/>
        </w:rPr>
        <w:t xml:space="preserve">on </w:t>
      </w:r>
      <w:r w:rsidRPr="00E116B6" w:rsidR="00CA1030">
        <w:rPr>
          <w:lang w:val="en-GB"/>
        </w:rPr>
        <w:t>the extensi</w:t>
      </w:r>
      <w:r w:rsidRPr="00E116B6" w:rsidR="006555F4">
        <w:rPr>
          <w:lang w:val="en-GB"/>
        </w:rPr>
        <w:t xml:space="preserve">on </w:t>
      </w:r>
      <w:r w:rsidRPr="00E116B6" w:rsidR="00CA1030">
        <w:rPr>
          <w:lang w:val="en-GB"/>
        </w:rPr>
        <w:t>of their detenti</w:t>
      </w:r>
      <w:r w:rsidRPr="00E116B6" w:rsidR="006555F4">
        <w:rPr>
          <w:lang w:val="en-GB"/>
        </w:rPr>
        <w:t xml:space="preserve">on </w:t>
      </w:r>
      <w:r w:rsidRPr="00E116B6" w:rsidR="00CA1030">
        <w:rPr>
          <w:lang w:val="en-GB"/>
        </w:rPr>
        <w:t>beyond the latter date</w:t>
      </w:r>
      <w:r w:rsidRPr="00E116B6">
        <w:rPr>
          <w:lang w:val="en-GB"/>
        </w:rPr>
        <w:t xml:space="preserve">, </w:t>
      </w:r>
      <w:r w:rsidRPr="00E116B6" w:rsidR="00344E44">
        <w:rPr>
          <w:lang w:val="en-GB"/>
        </w:rPr>
        <w:t xml:space="preserve">which </w:t>
      </w:r>
      <w:r w:rsidRPr="00E116B6" w:rsidR="00CA1030">
        <w:rPr>
          <w:lang w:val="en-GB"/>
        </w:rPr>
        <w:t xml:space="preserve">occurred </w:t>
      </w:r>
      <w:r w:rsidRPr="00E116B6" w:rsidR="006555F4">
        <w:rPr>
          <w:lang w:val="en-GB"/>
        </w:rPr>
        <w:t xml:space="preserve">on </w:t>
      </w:r>
      <w:r w:rsidRPr="00E116B6" w:rsidR="00CA1030">
        <w:rPr>
          <w:lang w:val="en-GB"/>
        </w:rPr>
        <w:t>the basis of the court decisions of 10 November 2004 and 7 June 2005 (see paragraphs</w:t>
      </w:r>
      <w:r w:rsidRPr="00E116B6" w:rsidR="00F76F58">
        <w:rPr>
          <w:lang w:val="en-GB"/>
        </w:rPr>
        <w:t xml:space="preserve"> </w:t>
      </w:r>
      <w:r w:rsidRPr="00E116B6" w:rsidR="00F76F58">
        <w:rPr>
          <w:lang w:val="en-GB"/>
        </w:rPr>
        <w:fldChar w:fldCharType="begin"/>
      </w:r>
      <w:r w:rsidRPr="00E116B6" w:rsidR="00F76F58">
        <w:rPr>
          <w:lang w:val="en-GB"/>
        </w:rPr>
        <w:instrText xml:space="preserve"> REF detentionorder1 \h </w:instrText>
      </w:r>
      <w:r w:rsidRPr="00E116B6" w:rsidR="00AC1180">
        <w:rPr>
          <w:lang w:val="en-GB"/>
        </w:rPr>
        <w:instrText xml:space="preserve"> \* MERGEFORMAT </w:instrText>
      </w:r>
      <w:r w:rsidRPr="00E116B6" w:rsidR="00F76F58">
        <w:rPr>
          <w:lang w:val="en-GB"/>
        </w:rPr>
      </w:r>
      <w:r w:rsidRPr="00E116B6" w:rsidR="00F76F58">
        <w:rPr>
          <w:lang w:val="en-GB"/>
        </w:rPr>
        <w:fldChar w:fldCharType="separate"/>
      </w:r>
      <w:r w:rsidRPr="00E116B6" w:rsidR="00E116B6">
        <w:rPr>
          <w:noProof/>
          <w:lang w:val="en-GB"/>
        </w:rPr>
        <w:t>43</w:t>
      </w:r>
      <w:r w:rsidRPr="00E116B6" w:rsidR="00F76F58">
        <w:rPr>
          <w:lang w:val="en-GB"/>
        </w:rPr>
        <w:fldChar w:fldCharType="end"/>
      </w:r>
      <w:r w:rsidRPr="00E116B6" w:rsidR="00F76F58">
        <w:rPr>
          <w:lang w:val="en-GB"/>
        </w:rPr>
        <w:t xml:space="preserve"> and </w:t>
      </w:r>
      <w:r w:rsidRPr="00E116B6" w:rsidR="00F76F58">
        <w:rPr>
          <w:lang w:val="en-GB"/>
        </w:rPr>
        <w:fldChar w:fldCharType="begin"/>
      </w:r>
      <w:r w:rsidRPr="00E116B6" w:rsidR="00F76F58">
        <w:rPr>
          <w:lang w:val="en-GB"/>
        </w:rPr>
        <w:instrText xml:space="preserve"> REF detentionorder2 \h </w:instrText>
      </w:r>
      <w:r w:rsidRPr="00E116B6" w:rsidR="00AC1180">
        <w:rPr>
          <w:lang w:val="en-GB"/>
        </w:rPr>
        <w:instrText xml:space="preserve"> \* MERGEFORMAT </w:instrText>
      </w:r>
      <w:r w:rsidRPr="00E116B6" w:rsidR="00F76F58">
        <w:rPr>
          <w:lang w:val="en-GB"/>
        </w:rPr>
      </w:r>
      <w:r w:rsidRPr="00E116B6" w:rsidR="00F76F58">
        <w:rPr>
          <w:lang w:val="en-GB"/>
        </w:rPr>
        <w:fldChar w:fldCharType="separate"/>
      </w:r>
      <w:r w:rsidRPr="00E116B6" w:rsidR="00E116B6">
        <w:rPr>
          <w:noProof/>
          <w:lang w:val="en-GB"/>
        </w:rPr>
        <w:t>45</w:t>
      </w:r>
      <w:r w:rsidRPr="00E116B6" w:rsidR="00F76F58">
        <w:rPr>
          <w:lang w:val="en-GB"/>
        </w:rPr>
        <w:fldChar w:fldCharType="end"/>
      </w:r>
      <w:r w:rsidRPr="00E116B6" w:rsidR="00CA1030">
        <w:rPr>
          <w:lang w:val="en-GB"/>
        </w:rPr>
        <w:t>)</w:t>
      </w:r>
      <w:r w:rsidRPr="00E116B6" w:rsidR="00BF3FEF">
        <w:rPr>
          <w:lang w:val="en-GB"/>
        </w:rPr>
        <w:t xml:space="preserve">. </w:t>
      </w:r>
      <w:r w:rsidRPr="00E116B6" w:rsidR="00344E44">
        <w:rPr>
          <w:lang w:val="en-GB"/>
        </w:rPr>
        <w:t>T</w:t>
      </w:r>
      <w:r w:rsidRPr="00E116B6" w:rsidR="00BF3FEF">
        <w:rPr>
          <w:lang w:val="en-GB"/>
        </w:rPr>
        <w:t xml:space="preserve">he Court is </w:t>
      </w:r>
      <w:r w:rsidRPr="00E116B6" w:rsidR="00344E44">
        <w:rPr>
          <w:lang w:val="en-GB"/>
        </w:rPr>
        <w:t xml:space="preserve">therefore </w:t>
      </w:r>
      <w:r w:rsidRPr="00E116B6" w:rsidR="00BF3FEF">
        <w:rPr>
          <w:lang w:val="en-GB"/>
        </w:rPr>
        <w:t xml:space="preserve">called </w:t>
      </w:r>
      <w:r w:rsidRPr="00E116B6" w:rsidR="006555F4">
        <w:rPr>
          <w:lang w:val="en-GB"/>
        </w:rPr>
        <w:t xml:space="preserve">on </w:t>
      </w:r>
      <w:r w:rsidRPr="00E116B6" w:rsidR="00BF3FEF">
        <w:rPr>
          <w:lang w:val="en-GB"/>
        </w:rPr>
        <w:t xml:space="preserve">to address </w:t>
      </w:r>
      <w:r w:rsidRPr="00E116B6" w:rsidR="004B00C7">
        <w:rPr>
          <w:lang w:val="en-GB"/>
        </w:rPr>
        <w:t xml:space="preserve">only </w:t>
      </w:r>
      <w:r w:rsidRPr="00E116B6" w:rsidR="00BF3FEF">
        <w:rPr>
          <w:lang w:val="en-GB"/>
        </w:rPr>
        <w:t>the reasons given in th</w:t>
      </w:r>
      <w:r w:rsidRPr="00E116B6">
        <w:rPr>
          <w:lang w:val="en-GB"/>
        </w:rPr>
        <w:t>ose</w:t>
      </w:r>
      <w:r w:rsidRPr="00E116B6" w:rsidR="00BF3FEF">
        <w:rPr>
          <w:lang w:val="en-GB"/>
        </w:rPr>
        <w:t xml:space="preserve"> two decisions.</w:t>
      </w:r>
    </w:p>
    <w:p w:rsidRPr="00E116B6" w:rsidR="00AC1180" w:rsidP="00E116B6" w:rsidRDefault="004D062F">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124</w:t>
      </w:r>
      <w:r w:rsidRPr="00E116B6">
        <w:rPr>
          <w:lang w:val="en-GB"/>
        </w:rPr>
        <w:fldChar w:fldCharType="end"/>
      </w:r>
      <w:r w:rsidRPr="00E116B6">
        <w:rPr>
          <w:lang w:val="en-GB"/>
        </w:rPr>
        <w:t>.  </w:t>
      </w:r>
      <w:r w:rsidRPr="00E116B6" w:rsidR="00A71C9C">
        <w:rPr>
          <w:lang w:val="en-GB"/>
        </w:rPr>
        <w:t>With respect to the decisi</w:t>
      </w:r>
      <w:r w:rsidRPr="00E116B6" w:rsidR="006555F4">
        <w:rPr>
          <w:lang w:val="en-GB"/>
        </w:rPr>
        <w:t xml:space="preserve">on </w:t>
      </w:r>
      <w:r w:rsidRPr="00E116B6" w:rsidR="00A71C9C">
        <w:rPr>
          <w:lang w:val="en-GB"/>
        </w:rPr>
        <w:t>of 10 November</w:t>
      </w:r>
      <w:r w:rsidRPr="00E116B6" w:rsidR="00905F49">
        <w:rPr>
          <w:lang w:val="en-GB"/>
        </w:rPr>
        <w:t xml:space="preserve"> 2004</w:t>
      </w:r>
      <w:r w:rsidRPr="00E116B6" w:rsidR="00A71C9C">
        <w:rPr>
          <w:lang w:val="en-GB"/>
        </w:rPr>
        <w:t xml:space="preserve">, the Court observes that the </w:t>
      </w:r>
      <w:r w:rsidRPr="00E116B6" w:rsidR="00001486">
        <w:rPr>
          <w:lang w:val="en-GB"/>
        </w:rPr>
        <w:t xml:space="preserve">Supreme Court judge </w:t>
      </w:r>
      <w:r w:rsidRPr="00E116B6" w:rsidR="00A71C9C">
        <w:rPr>
          <w:lang w:val="en-GB"/>
        </w:rPr>
        <w:t>justified the need for keeping the applicants in continued detenti</w:t>
      </w:r>
      <w:r w:rsidRPr="00E116B6" w:rsidR="006555F4">
        <w:rPr>
          <w:lang w:val="en-GB"/>
        </w:rPr>
        <w:t xml:space="preserve">on </w:t>
      </w:r>
      <w:r w:rsidRPr="00E116B6" w:rsidR="00A71C9C">
        <w:rPr>
          <w:lang w:val="en-GB"/>
        </w:rPr>
        <w:t>by</w:t>
      </w:r>
      <w:r w:rsidRPr="00E116B6" w:rsidR="00D842E6">
        <w:rPr>
          <w:lang w:val="en-GB"/>
        </w:rPr>
        <w:t xml:space="preserve"> </w:t>
      </w:r>
      <w:r w:rsidRPr="00E116B6" w:rsidR="00A71C9C">
        <w:rPr>
          <w:lang w:val="en-GB"/>
        </w:rPr>
        <w:t xml:space="preserve">noting </w:t>
      </w:r>
      <w:r w:rsidRPr="00E116B6" w:rsidR="00D842E6">
        <w:rPr>
          <w:lang w:val="en-GB"/>
        </w:rPr>
        <w:t xml:space="preserve">(i) </w:t>
      </w:r>
      <w:r w:rsidRPr="00E116B6" w:rsidR="00905F49">
        <w:rPr>
          <w:lang w:val="en-GB"/>
        </w:rPr>
        <w:t xml:space="preserve">that </w:t>
      </w:r>
      <w:r w:rsidRPr="00E116B6" w:rsidR="00D842E6">
        <w:rPr>
          <w:lang w:val="en-GB"/>
        </w:rPr>
        <w:t xml:space="preserve">the severity of </w:t>
      </w:r>
      <w:r w:rsidRPr="00E116B6" w:rsidR="00804FCB">
        <w:rPr>
          <w:lang w:val="en-GB"/>
        </w:rPr>
        <w:t xml:space="preserve">their possible </w:t>
      </w:r>
      <w:r w:rsidRPr="00E116B6" w:rsidR="00D842E6">
        <w:rPr>
          <w:lang w:val="en-GB"/>
        </w:rPr>
        <w:t>sentence substantiated the risk of absconding and (</w:t>
      </w:r>
      <w:r w:rsidRPr="00E116B6" w:rsidR="00A71C9C">
        <w:rPr>
          <w:lang w:val="en-GB"/>
        </w:rPr>
        <w:t>ii</w:t>
      </w:r>
      <w:r w:rsidRPr="00E116B6" w:rsidR="00D842E6">
        <w:rPr>
          <w:lang w:val="en-GB"/>
        </w:rPr>
        <w:t>)</w:t>
      </w:r>
      <w:r w:rsidRPr="00E116B6" w:rsidR="00905F49">
        <w:rPr>
          <w:lang w:val="en-GB"/>
        </w:rPr>
        <w:t xml:space="preserve"> that</w:t>
      </w:r>
      <w:r w:rsidRPr="00E116B6" w:rsidR="00D842E6">
        <w:rPr>
          <w:lang w:val="en-GB"/>
        </w:rPr>
        <w:t xml:space="preserve"> the </w:t>
      </w:r>
      <w:r w:rsidRPr="00E116B6" w:rsidR="00A71C9C">
        <w:rPr>
          <w:lang w:val="en-GB"/>
        </w:rPr>
        <w:t>case materi</w:t>
      </w:r>
      <w:r w:rsidRPr="00E116B6">
        <w:rPr>
          <w:lang w:val="en-GB"/>
        </w:rPr>
        <w:t>a</w:t>
      </w:r>
      <w:r w:rsidRPr="00E116B6" w:rsidR="00A71C9C">
        <w:rPr>
          <w:lang w:val="en-GB"/>
        </w:rPr>
        <w:t>l</w:t>
      </w:r>
      <w:r w:rsidRPr="00E116B6" w:rsidR="00D842E6">
        <w:rPr>
          <w:lang w:val="en-GB"/>
        </w:rPr>
        <w:t xml:space="preserve"> </w:t>
      </w:r>
      <w:r w:rsidRPr="00E116B6" w:rsidR="00344E44">
        <w:rPr>
          <w:lang w:val="en-GB"/>
        </w:rPr>
        <w:t xml:space="preserve">showed </w:t>
      </w:r>
      <w:r w:rsidRPr="00E116B6" w:rsidR="00D842E6">
        <w:rPr>
          <w:lang w:val="en-GB"/>
        </w:rPr>
        <w:t>that the applicant</w:t>
      </w:r>
      <w:r w:rsidRPr="00E116B6" w:rsidR="004B00C7">
        <w:rPr>
          <w:lang w:val="en-GB"/>
        </w:rPr>
        <w:t>s</w:t>
      </w:r>
      <w:r w:rsidRPr="00E116B6" w:rsidR="00D842E6">
        <w:rPr>
          <w:lang w:val="en-GB"/>
        </w:rPr>
        <w:t xml:space="preserve"> could hinder the investigation.</w:t>
      </w:r>
      <w:r w:rsidRPr="00E116B6">
        <w:rPr>
          <w:lang w:val="en-GB"/>
        </w:rPr>
        <w:t xml:space="preserve"> </w:t>
      </w:r>
      <w:r w:rsidRPr="00E116B6" w:rsidR="00A71C9C">
        <w:rPr>
          <w:lang w:val="en-GB"/>
        </w:rPr>
        <w:t xml:space="preserve">However, </w:t>
      </w:r>
      <w:r w:rsidRPr="00E116B6" w:rsidR="00344E44">
        <w:rPr>
          <w:lang w:val="en-GB"/>
        </w:rPr>
        <w:t>a</w:t>
      </w:r>
      <w:r w:rsidRPr="00E116B6" w:rsidR="00D842E6">
        <w:rPr>
          <w:lang w:val="en-GB"/>
        </w:rPr>
        <w:t xml:space="preserve"> </w:t>
      </w:r>
      <w:r w:rsidRPr="00E116B6" w:rsidR="00A71C9C">
        <w:rPr>
          <w:lang w:val="en-GB"/>
        </w:rPr>
        <w:t xml:space="preserve">risk of absconding cannot </w:t>
      </w:r>
      <w:r w:rsidRPr="00E116B6" w:rsidR="00A05F29">
        <w:rPr>
          <w:lang w:val="en-GB"/>
        </w:rPr>
        <w:t xml:space="preserve">be gauged solely </w:t>
      </w:r>
      <w:r w:rsidRPr="00E116B6" w:rsidR="006555F4">
        <w:rPr>
          <w:lang w:val="en-GB"/>
        </w:rPr>
        <w:t xml:space="preserve">on </w:t>
      </w:r>
      <w:r w:rsidRPr="00E116B6" w:rsidR="00A05F29">
        <w:rPr>
          <w:lang w:val="en-GB"/>
        </w:rPr>
        <w:t xml:space="preserve">the basis of the severity of an eventual sentence and must be assessed with reference to a number of other relevant factors (see </w:t>
      </w:r>
      <w:r w:rsidRPr="00E116B6" w:rsidR="00A05F29">
        <w:rPr>
          <w:i/>
          <w:lang w:val="en-GB"/>
        </w:rPr>
        <w:t>Letellier v. France</w:t>
      </w:r>
      <w:r w:rsidRPr="00E116B6" w:rsidR="00A05F29">
        <w:rPr>
          <w:lang w:val="en-GB"/>
        </w:rPr>
        <w:t xml:space="preserve">, 26 June 1991, </w:t>
      </w:r>
      <w:r w:rsidRPr="00E116B6" w:rsidR="00111B57">
        <w:rPr>
          <w:lang w:val="en-GB"/>
        </w:rPr>
        <w:t>§</w:t>
      </w:r>
      <w:r w:rsidRPr="00E116B6" w:rsidR="001E1626">
        <w:rPr>
          <w:lang w:val="en-GB"/>
        </w:rPr>
        <w:t> </w:t>
      </w:r>
      <w:r w:rsidRPr="00E116B6" w:rsidR="00111B57">
        <w:rPr>
          <w:lang w:val="en-GB"/>
        </w:rPr>
        <w:t xml:space="preserve">43, </w:t>
      </w:r>
      <w:r w:rsidRPr="00E116B6" w:rsidR="00A05F29">
        <w:rPr>
          <w:lang w:val="en-GB"/>
        </w:rPr>
        <w:t xml:space="preserve">Series A no. 207, </w:t>
      </w:r>
      <w:r w:rsidRPr="00E116B6" w:rsidR="00804FCB">
        <w:rPr>
          <w:lang w:val="en-GB"/>
        </w:rPr>
        <w:t xml:space="preserve">and </w:t>
      </w:r>
      <w:r w:rsidRPr="00E116B6" w:rsidR="00905F49">
        <w:rPr>
          <w:i/>
          <w:lang w:val="en-GB"/>
        </w:rPr>
        <w:t>Khudoyorov</w:t>
      </w:r>
      <w:r w:rsidRPr="00E116B6" w:rsidR="00905F49">
        <w:rPr>
          <w:lang w:val="en-GB"/>
        </w:rPr>
        <w:t xml:space="preserve">, cited above, </w:t>
      </w:r>
      <w:r w:rsidRPr="00E116B6" w:rsidR="00905F49">
        <w:rPr>
          <w:rFonts w:cstheme="minorHAnsi"/>
          <w:lang w:val="en-GB"/>
        </w:rPr>
        <w:t>§</w:t>
      </w:r>
      <w:r w:rsidRPr="00E116B6" w:rsidR="00905F49">
        <w:rPr>
          <w:lang w:val="en-GB"/>
        </w:rPr>
        <w:t xml:space="preserve"> 181</w:t>
      </w:r>
      <w:r w:rsidRPr="00E116B6" w:rsidR="00A05F29">
        <w:rPr>
          <w:lang w:val="en-GB"/>
        </w:rPr>
        <w:t>)</w:t>
      </w:r>
      <w:r w:rsidRPr="00E116B6" w:rsidR="00905F49">
        <w:rPr>
          <w:lang w:val="en-GB"/>
        </w:rPr>
        <w:t>, which was not done in the decisi</w:t>
      </w:r>
      <w:r w:rsidRPr="00E116B6" w:rsidR="006555F4">
        <w:rPr>
          <w:lang w:val="en-GB"/>
        </w:rPr>
        <w:t xml:space="preserve">on </w:t>
      </w:r>
      <w:r w:rsidRPr="00E116B6" w:rsidR="00905F49">
        <w:rPr>
          <w:lang w:val="en-GB"/>
        </w:rPr>
        <w:t>of 10 November 2004</w:t>
      </w:r>
      <w:r w:rsidRPr="00E116B6" w:rsidR="00A05F29">
        <w:rPr>
          <w:lang w:val="en-GB"/>
        </w:rPr>
        <w:t xml:space="preserve">. As to the risk of hampering the establishment of the truth, </w:t>
      </w:r>
      <w:r w:rsidRPr="00E116B6" w:rsidR="00804FCB">
        <w:rPr>
          <w:lang w:val="en-GB"/>
        </w:rPr>
        <w:t xml:space="preserve">and </w:t>
      </w:r>
      <w:r w:rsidRPr="00E116B6" w:rsidR="00A71C9C">
        <w:rPr>
          <w:lang w:val="en-GB"/>
        </w:rPr>
        <w:t xml:space="preserve">although that risk may be a relevant element in assessing the reasonableness of </w:t>
      </w:r>
      <w:r w:rsidRPr="00E116B6" w:rsidR="00804FCB">
        <w:rPr>
          <w:lang w:val="en-GB"/>
        </w:rPr>
        <w:t xml:space="preserve">a </w:t>
      </w:r>
      <w:r w:rsidRPr="00E116B6" w:rsidR="00A71C9C">
        <w:rPr>
          <w:lang w:val="en-GB"/>
        </w:rPr>
        <w:t>deprivati</w:t>
      </w:r>
      <w:r w:rsidRPr="00E116B6" w:rsidR="006555F4">
        <w:rPr>
          <w:lang w:val="en-GB"/>
        </w:rPr>
        <w:t xml:space="preserve">on </w:t>
      </w:r>
      <w:r w:rsidRPr="00E116B6" w:rsidR="00A71C9C">
        <w:rPr>
          <w:lang w:val="en-GB"/>
        </w:rPr>
        <w:t xml:space="preserve">of liberty, </w:t>
      </w:r>
      <w:r w:rsidRPr="00E116B6" w:rsidR="00A05F29">
        <w:rPr>
          <w:lang w:val="en-GB"/>
        </w:rPr>
        <w:t xml:space="preserve">the Court </w:t>
      </w:r>
      <w:r w:rsidRPr="00E116B6" w:rsidR="00A71C9C">
        <w:rPr>
          <w:lang w:val="en-GB"/>
        </w:rPr>
        <w:t xml:space="preserve">reiterates that it cannot be established </w:t>
      </w:r>
      <w:r w:rsidRPr="00E116B6" w:rsidR="006555F4">
        <w:rPr>
          <w:lang w:val="en-GB"/>
        </w:rPr>
        <w:t xml:space="preserve">on </w:t>
      </w:r>
      <w:r w:rsidRPr="00E116B6" w:rsidR="00A71C9C">
        <w:rPr>
          <w:lang w:val="en-GB"/>
        </w:rPr>
        <w:t xml:space="preserve">the basis of abstract statements, unsupported by any arguments (see </w:t>
      </w:r>
      <w:r w:rsidRPr="00E116B6" w:rsidR="00A71C9C">
        <w:rPr>
          <w:i/>
          <w:lang w:val="en-GB"/>
        </w:rPr>
        <w:t>Smirnova v. Russia</w:t>
      </w:r>
      <w:r w:rsidRPr="00E116B6" w:rsidR="00BD03AB">
        <w:rPr>
          <w:lang w:val="en-GB"/>
        </w:rPr>
        <w:t>, nos. 46133/99 and </w:t>
      </w:r>
      <w:r w:rsidRPr="00E116B6" w:rsidR="00A71C9C">
        <w:rPr>
          <w:lang w:val="en-GB"/>
        </w:rPr>
        <w:t>48183/99, § 63, ECHR 2003</w:t>
      </w:r>
      <w:r w:rsidRPr="00E116B6" w:rsidR="00344E44">
        <w:rPr>
          <w:lang w:val="en-GB"/>
        </w:rPr>
        <w:t>-</w:t>
      </w:r>
      <w:r w:rsidRPr="00E116B6" w:rsidR="00A71C9C">
        <w:rPr>
          <w:lang w:val="en-GB"/>
        </w:rPr>
        <w:t>IX (extracts)). In the decisi</w:t>
      </w:r>
      <w:r w:rsidRPr="00E116B6" w:rsidR="006555F4">
        <w:rPr>
          <w:lang w:val="en-GB"/>
        </w:rPr>
        <w:t xml:space="preserve">on </w:t>
      </w:r>
      <w:r w:rsidRPr="00E116B6" w:rsidR="00BD03AB">
        <w:rPr>
          <w:lang w:val="en-GB"/>
        </w:rPr>
        <w:t>of 10 </w:t>
      </w:r>
      <w:r w:rsidRPr="00E116B6" w:rsidR="00A71C9C">
        <w:rPr>
          <w:lang w:val="en-GB"/>
        </w:rPr>
        <w:t xml:space="preserve">November 2004, however, that risk was </w:t>
      </w:r>
      <w:r w:rsidRPr="00E116B6" w:rsidR="00A05F29">
        <w:rPr>
          <w:lang w:val="en-GB"/>
        </w:rPr>
        <w:t>just bluntly stated, without any relati</w:t>
      </w:r>
      <w:r w:rsidRPr="00E116B6" w:rsidR="006555F4">
        <w:rPr>
          <w:lang w:val="en-GB"/>
        </w:rPr>
        <w:t xml:space="preserve">on </w:t>
      </w:r>
      <w:r w:rsidRPr="00E116B6" w:rsidR="00A05F29">
        <w:rPr>
          <w:lang w:val="en-GB"/>
        </w:rPr>
        <w:t>to the specific circumstances of the case</w:t>
      </w:r>
      <w:r w:rsidRPr="00E116B6">
        <w:rPr>
          <w:lang w:val="en-GB"/>
        </w:rPr>
        <w:t xml:space="preserve"> </w:t>
      </w:r>
      <w:r w:rsidRPr="00E116B6" w:rsidR="00A05F29">
        <w:rPr>
          <w:lang w:val="en-GB"/>
        </w:rPr>
        <w:t>(</w:t>
      </w:r>
      <w:r w:rsidRPr="00E116B6" w:rsidR="00001486">
        <w:rPr>
          <w:lang w:val="en-GB"/>
        </w:rPr>
        <w:t>compare with</w:t>
      </w:r>
      <w:r w:rsidRPr="00E116B6" w:rsidR="00111B57">
        <w:rPr>
          <w:lang w:val="en-GB"/>
        </w:rPr>
        <w:t xml:space="preserve"> </w:t>
      </w:r>
      <w:r w:rsidRPr="00E116B6" w:rsidR="00BD03AB">
        <w:rPr>
          <w:i/>
          <w:lang w:val="en-GB"/>
        </w:rPr>
        <w:t>Farhad </w:t>
      </w:r>
      <w:r w:rsidRPr="00E116B6" w:rsidR="00111B57">
        <w:rPr>
          <w:i/>
          <w:lang w:val="en-GB"/>
        </w:rPr>
        <w:t>Aliyev v.</w:t>
      </w:r>
      <w:r w:rsidRPr="00E116B6" w:rsidR="001E1626">
        <w:rPr>
          <w:i/>
          <w:lang w:val="en-GB"/>
        </w:rPr>
        <w:t> </w:t>
      </w:r>
      <w:r w:rsidRPr="00E116B6" w:rsidR="00111B57">
        <w:rPr>
          <w:i/>
          <w:lang w:val="en-GB"/>
        </w:rPr>
        <w:t>Azerbaijan</w:t>
      </w:r>
      <w:r w:rsidRPr="00E116B6" w:rsidR="00111B57">
        <w:rPr>
          <w:lang w:val="en-GB"/>
        </w:rPr>
        <w:t>, no. 37138/06, § 192, 9 November 2010;</w:t>
      </w:r>
      <w:r w:rsidRPr="00E116B6" w:rsidR="00001486">
        <w:rPr>
          <w:lang w:val="en-GB"/>
        </w:rPr>
        <w:t xml:space="preserve"> </w:t>
      </w:r>
      <w:r w:rsidRPr="00E116B6" w:rsidR="009F0DE4">
        <w:rPr>
          <w:lang w:val="en-GB"/>
        </w:rPr>
        <w:t>Panchenko v.</w:t>
      </w:r>
      <w:r w:rsidRPr="00E116B6" w:rsidR="001E1626">
        <w:rPr>
          <w:lang w:val="en-GB"/>
        </w:rPr>
        <w:t> </w:t>
      </w:r>
      <w:r w:rsidRPr="00E116B6" w:rsidR="009F0DE4">
        <w:rPr>
          <w:lang w:val="en-GB"/>
        </w:rPr>
        <w:t>Russia, no.</w:t>
      </w:r>
      <w:r w:rsidRPr="00E116B6" w:rsidR="0000400E">
        <w:rPr>
          <w:lang w:val="en-GB"/>
        </w:rPr>
        <w:t> </w:t>
      </w:r>
      <w:r w:rsidRPr="00E116B6" w:rsidR="009F0DE4">
        <w:rPr>
          <w:lang w:val="en-GB"/>
        </w:rPr>
        <w:t>45100/98, § 10</w:t>
      </w:r>
      <w:r w:rsidRPr="00E116B6" w:rsidR="00BD368A">
        <w:rPr>
          <w:lang w:val="en-GB"/>
        </w:rPr>
        <w:t>7</w:t>
      </w:r>
      <w:r w:rsidRPr="00E116B6" w:rsidR="009F0DE4">
        <w:rPr>
          <w:lang w:val="en-GB"/>
        </w:rPr>
        <w:t xml:space="preserve">, 8 February 2005, and </w:t>
      </w:r>
      <w:r w:rsidRPr="00E116B6" w:rsidR="00BD03AB">
        <w:rPr>
          <w:i/>
          <w:lang w:val="en-GB"/>
        </w:rPr>
        <w:t>Rokhlina v. </w:t>
      </w:r>
      <w:r w:rsidRPr="00E116B6" w:rsidR="00A05F29">
        <w:rPr>
          <w:i/>
          <w:lang w:val="en-GB"/>
        </w:rPr>
        <w:t>Russia</w:t>
      </w:r>
      <w:r w:rsidRPr="00E116B6" w:rsidR="00A05F29">
        <w:rPr>
          <w:lang w:val="en-GB"/>
        </w:rPr>
        <w:t>, no.</w:t>
      </w:r>
      <w:r w:rsidRPr="00E116B6" w:rsidR="0000400E">
        <w:rPr>
          <w:lang w:val="en-GB"/>
        </w:rPr>
        <w:t> </w:t>
      </w:r>
      <w:r w:rsidRPr="00E116B6" w:rsidR="00A05F29">
        <w:rPr>
          <w:lang w:val="en-GB"/>
        </w:rPr>
        <w:t>54071/00, § 6</w:t>
      </w:r>
      <w:r w:rsidRPr="00E116B6" w:rsidR="00BD368A">
        <w:rPr>
          <w:lang w:val="en-GB"/>
        </w:rPr>
        <w:t>8</w:t>
      </w:r>
      <w:r w:rsidRPr="00E116B6" w:rsidR="00A05F29">
        <w:rPr>
          <w:lang w:val="en-GB"/>
        </w:rPr>
        <w:t>, 7 April 2005).</w:t>
      </w:r>
    </w:p>
    <w:p w:rsidRPr="00E116B6" w:rsidR="00AC1180" w:rsidP="00E116B6" w:rsidRDefault="00A05F29">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125</w:t>
      </w:r>
      <w:r w:rsidRPr="00E116B6">
        <w:rPr>
          <w:lang w:val="en-GB"/>
        </w:rPr>
        <w:fldChar w:fldCharType="end"/>
      </w:r>
      <w:r w:rsidRPr="00E116B6">
        <w:rPr>
          <w:lang w:val="en-GB"/>
        </w:rPr>
        <w:t>.  The Court is particularly concerned by the manner in which the Tbilisi Regional Court, when committing the applicant</w:t>
      </w:r>
      <w:r w:rsidRPr="00E116B6" w:rsidR="004B00C7">
        <w:rPr>
          <w:lang w:val="en-GB"/>
        </w:rPr>
        <w:t>s</w:t>
      </w:r>
      <w:r w:rsidRPr="00E116B6">
        <w:rPr>
          <w:lang w:val="en-GB"/>
        </w:rPr>
        <w:t xml:space="preserve"> for trial, reviewed and extended </w:t>
      </w:r>
      <w:r w:rsidRPr="00E116B6" w:rsidR="00DF43F4">
        <w:rPr>
          <w:lang w:val="en-GB"/>
        </w:rPr>
        <w:t xml:space="preserve">their </w:t>
      </w:r>
      <w:r w:rsidRPr="00E116B6">
        <w:rPr>
          <w:lang w:val="en-GB"/>
        </w:rPr>
        <w:t>detenti</w:t>
      </w:r>
      <w:r w:rsidRPr="00E116B6" w:rsidR="006555F4">
        <w:rPr>
          <w:lang w:val="en-GB"/>
        </w:rPr>
        <w:t xml:space="preserve">on on </w:t>
      </w:r>
      <w:r w:rsidRPr="00E116B6">
        <w:rPr>
          <w:lang w:val="en-GB"/>
        </w:rPr>
        <w:t xml:space="preserve">remand </w:t>
      </w:r>
      <w:r w:rsidRPr="00E116B6" w:rsidR="00001486">
        <w:rPr>
          <w:lang w:val="en-GB"/>
        </w:rPr>
        <w:t>in its decisi</w:t>
      </w:r>
      <w:r w:rsidRPr="00E116B6" w:rsidR="006555F4">
        <w:rPr>
          <w:lang w:val="en-GB"/>
        </w:rPr>
        <w:t xml:space="preserve">on </w:t>
      </w:r>
      <w:r w:rsidRPr="00E116B6" w:rsidR="00001486">
        <w:rPr>
          <w:lang w:val="en-GB"/>
        </w:rPr>
        <w:t>of</w:t>
      </w:r>
      <w:r w:rsidRPr="00E116B6">
        <w:rPr>
          <w:lang w:val="en-GB"/>
        </w:rPr>
        <w:t xml:space="preserve"> </w:t>
      </w:r>
      <w:r w:rsidRPr="00E116B6" w:rsidR="00C14277">
        <w:rPr>
          <w:lang w:val="en-GB"/>
        </w:rPr>
        <w:t>7 June 2005</w:t>
      </w:r>
      <w:r w:rsidRPr="00E116B6">
        <w:rPr>
          <w:lang w:val="en-GB"/>
        </w:rPr>
        <w:t xml:space="preserve">. Instead of showing an even higher degree of “special diligence” in the face of </w:t>
      </w:r>
      <w:r w:rsidRPr="00E116B6" w:rsidR="00344E44">
        <w:rPr>
          <w:lang w:val="en-GB"/>
        </w:rPr>
        <w:t xml:space="preserve">a period of </w:t>
      </w:r>
      <w:r w:rsidRPr="00E116B6">
        <w:rPr>
          <w:lang w:val="en-GB"/>
        </w:rPr>
        <w:t>detenti</w:t>
      </w:r>
      <w:r w:rsidRPr="00E116B6" w:rsidR="006555F4">
        <w:rPr>
          <w:lang w:val="en-GB"/>
        </w:rPr>
        <w:t xml:space="preserve">on </w:t>
      </w:r>
      <w:r w:rsidRPr="00E116B6">
        <w:rPr>
          <w:lang w:val="en-GB"/>
        </w:rPr>
        <w:t xml:space="preserve">which had already lasted more than </w:t>
      </w:r>
      <w:r w:rsidRPr="00E116B6" w:rsidR="00C14277">
        <w:rPr>
          <w:lang w:val="en-GB"/>
        </w:rPr>
        <w:t xml:space="preserve">twelve </w:t>
      </w:r>
      <w:r w:rsidRPr="00E116B6">
        <w:rPr>
          <w:lang w:val="en-GB"/>
        </w:rPr>
        <w:t>months</w:t>
      </w:r>
      <w:r w:rsidRPr="00E116B6" w:rsidR="00BD03AB">
        <w:rPr>
          <w:lang w:val="en-GB"/>
        </w:rPr>
        <w:t xml:space="preserve"> </w:t>
      </w:r>
      <w:r w:rsidRPr="00E116B6">
        <w:rPr>
          <w:lang w:val="en-GB"/>
        </w:rPr>
        <w:t>(</w:t>
      </w:r>
      <w:r w:rsidRPr="00E116B6" w:rsidR="00001486">
        <w:rPr>
          <w:lang w:val="en-GB"/>
        </w:rPr>
        <w:t>compare with</w:t>
      </w:r>
      <w:r w:rsidRPr="00E116B6">
        <w:rPr>
          <w:lang w:val="en-GB"/>
        </w:rPr>
        <w:t xml:space="preserve"> </w:t>
      </w:r>
      <w:r w:rsidRPr="00E116B6">
        <w:rPr>
          <w:i/>
          <w:lang w:val="en-GB"/>
        </w:rPr>
        <w:t>G.K. v. Poland</w:t>
      </w:r>
      <w:r w:rsidRPr="00E116B6">
        <w:rPr>
          <w:lang w:val="en-GB"/>
        </w:rPr>
        <w:t>, no. 38816/97, § 84, 20</w:t>
      </w:r>
      <w:r w:rsidRPr="00E116B6" w:rsidR="00665943">
        <w:rPr>
          <w:lang w:val="en-GB"/>
        </w:rPr>
        <w:t> </w:t>
      </w:r>
      <w:r w:rsidRPr="00E116B6">
        <w:rPr>
          <w:lang w:val="en-GB"/>
        </w:rPr>
        <w:t xml:space="preserve">January 2004), the </w:t>
      </w:r>
      <w:r w:rsidRPr="00E116B6" w:rsidR="00001486">
        <w:rPr>
          <w:lang w:val="en-GB"/>
        </w:rPr>
        <w:t>domestic court</w:t>
      </w:r>
      <w:r w:rsidRPr="00E116B6">
        <w:rPr>
          <w:lang w:val="en-GB"/>
        </w:rPr>
        <w:t xml:space="preserve"> issued a standard, template decision. Rather than fulfilling its duty to establish convincing grounds justifying continued detenti</w:t>
      </w:r>
      <w:r w:rsidRPr="00E116B6" w:rsidR="006555F4">
        <w:rPr>
          <w:lang w:val="en-GB"/>
        </w:rPr>
        <w:t xml:space="preserve">on </w:t>
      </w:r>
      <w:r w:rsidRPr="00E116B6">
        <w:rPr>
          <w:lang w:val="en-GB"/>
        </w:rPr>
        <w:t xml:space="preserve">(ibid.), it relied </w:t>
      </w:r>
      <w:r w:rsidRPr="00E116B6" w:rsidR="006555F4">
        <w:rPr>
          <w:lang w:val="en-GB"/>
        </w:rPr>
        <w:t xml:space="preserve">on </w:t>
      </w:r>
      <w:r w:rsidRPr="00E116B6">
        <w:rPr>
          <w:lang w:val="en-GB"/>
        </w:rPr>
        <w:t>a pre-printed form and abstract terms</w:t>
      </w:r>
      <w:r w:rsidRPr="00E116B6" w:rsidR="00665943">
        <w:rPr>
          <w:lang w:val="en-GB"/>
        </w:rPr>
        <w:t> </w:t>
      </w:r>
      <w:r w:rsidRPr="00E116B6">
        <w:rPr>
          <w:lang w:val="en-GB"/>
        </w:rPr>
        <w:t xml:space="preserve">(see </w:t>
      </w:r>
      <w:r w:rsidRPr="00E116B6" w:rsidR="00F76F58">
        <w:rPr>
          <w:lang w:val="en-GB"/>
        </w:rPr>
        <w:t>paragraph</w:t>
      </w:r>
      <w:r w:rsidRPr="00E116B6" w:rsidR="00665943">
        <w:rPr>
          <w:lang w:val="en-GB"/>
        </w:rPr>
        <w:t> </w:t>
      </w:r>
      <w:r w:rsidRPr="00E116B6" w:rsidR="00F76F58">
        <w:rPr>
          <w:lang w:val="en-GB"/>
        </w:rPr>
        <w:fldChar w:fldCharType="begin"/>
      </w:r>
      <w:r w:rsidRPr="00E116B6" w:rsidR="00F76F58">
        <w:rPr>
          <w:lang w:val="en-GB"/>
        </w:rPr>
        <w:instrText xml:space="preserve"> REF detentionorder2 \h </w:instrText>
      </w:r>
      <w:r w:rsidRPr="00E116B6" w:rsidR="00F76F58">
        <w:rPr>
          <w:lang w:val="en-GB"/>
        </w:rPr>
      </w:r>
      <w:r w:rsidRPr="00E116B6" w:rsidR="00F76F58">
        <w:rPr>
          <w:lang w:val="en-GB"/>
        </w:rPr>
        <w:fldChar w:fldCharType="separate"/>
      </w:r>
      <w:r w:rsidRPr="00E116B6" w:rsidR="00E116B6">
        <w:rPr>
          <w:noProof/>
          <w:lang w:val="en-GB"/>
        </w:rPr>
        <w:t>45</w:t>
      </w:r>
      <w:r w:rsidRPr="00E116B6" w:rsidR="00F76F58">
        <w:rPr>
          <w:lang w:val="en-GB"/>
        </w:rPr>
        <w:fldChar w:fldCharType="end"/>
      </w:r>
      <w:r w:rsidRPr="00E116B6" w:rsidR="00665943">
        <w:rPr>
          <w:lang w:val="en-GB"/>
        </w:rPr>
        <w:t xml:space="preserve"> </w:t>
      </w:r>
      <w:r w:rsidRPr="00E116B6" w:rsidR="00F76F58">
        <w:rPr>
          <w:lang w:val="en-GB"/>
        </w:rPr>
        <w:t>a</w:t>
      </w:r>
      <w:r w:rsidRPr="00E116B6">
        <w:rPr>
          <w:lang w:val="en-GB"/>
        </w:rPr>
        <w:t>bove</w:t>
      </w:r>
      <w:r w:rsidRPr="00E116B6" w:rsidR="004D062F">
        <w:rPr>
          <w:lang w:val="en-GB"/>
        </w:rPr>
        <w:t xml:space="preserve">). </w:t>
      </w:r>
      <w:r w:rsidRPr="00E116B6" w:rsidR="00344E44">
        <w:rPr>
          <w:lang w:val="en-GB"/>
        </w:rPr>
        <w:t>Even a</w:t>
      </w:r>
      <w:r w:rsidRPr="00E116B6" w:rsidR="00C14277">
        <w:rPr>
          <w:lang w:val="en-GB"/>
        </w:rPr>
        <w:t>ssuming that specific, relevant</w:t>
      </w:r>
      <w:r w:rsidRPr="00E116B6" w:rsidR="004B00C7">
        <w:rPr>
          <w:lang w:val="en-GB"/>
        </w:rPr>
        <w:t xml:space="preserve"> facts warranting the applicant</w:t>
      </w:r>
      <w:r w:rsidRPr="00E116B6" w:rsidR="00C14277">
        <w:rPr>
          <w:lang w:val="en-GB"/>
        </w:rPr>
        <w:t>s</w:t>
      </w:r>
      <w:r w:rsidRPr="00E116B6" w:rsidR="00E116B6">
        <w:rPr>
          <w:lang w:val="en-GB"/>
        </w:rPr>
        <w:t>’</w:t>
      </w:r>
      <w:r w:rsidRPr="00E116B6" w:rsidR="00C14277">
        <w:rPr>
          <w:lang w:val="en-GB"/>
        </w:rPr>
        <w:t xml:space="preserve"> </w:t>
      </w:r>
      <w:r w:rsidRPr="00E116B6" w:rsidR="004D062F">
        <w:rPr>
          <w:lang w:val="en-GB"/>
        </w:rPr>
        <w:t xml:space="preserve">continued </w:t>
      </w:r>
      <w:r w:rsidRPr="00E116B6" w:rsidR="00C14277">
        <w:rPr>
          <w:lang w:val="en-GB"/>
        </w:rPr>
        <w:t>deprivati</w:t>
      </w:r>
      <w:r w:rsidRPr="00E116B6" w:rsidR="006555F4">
        <w:rPr>
          <w:lang w:val="en-GB"/>
        </w:rPr>
        <w:t xml:space="preserve">on </w:t>
      </w:r>
      <w:r w:rsidRPr="00E116B6" w:rsidR="00C14277">
        <w:rPr>
          <w:lang w:val="en-GB"/>
        </w:rPr>
        <w:t>of liberty may have existed in the present case, they were not set out in the domestic decisi</w:t>
      </w:r>
      <w:r w:rsidRPr="00E116B6" w:rsidR="006555F4">
        <w:rPr>
          <w:lang w:val="en-GB"/>
        </w:rPr>
        <w:t xml:space="preserve">on </w:t>
      </w:r>
      <w:r w:rsidRPr="00E116B6" w:rsidR="00804FCB">
        <w:rPr>
          <w:lang w:val="en-GB"/>
        </w:rPr>
        <w:t>in question</w:t>
      </w:r>
      <w:r w:rsidRPr="00E116B6" w:rsidR="00C14277">
        <w:rPr>
          <w:lang w:val="en-GB"/>
        </w:rPr>
        <w:t>, and it is not the Court</w:t>
      </w:r>
      <w:r w:rsidRPr="00E116B6" w:rsidR="00E116B6">
        <w:rPr>
          <w:rFonts w:ascii="Times New Roman" w:hAnsi="Times New Roman" w:cs="Times New Roman"/>
          <w:lang w:val="en-GB"/>
        </w:rPr>
        <w:t>’</w:t>
      </w:r>
      <w:r w:rsidRPr="00E116B6" w:rsidR="00C14277">
        <w:rPr>
          <w:lang w:val="en-GB"/>
        </w:rPr>
        <w:t xml:space="preserve">s task to take the place of the national authorities and establish such facts in their stead (see </w:t>
      </w:r>
      <w:r w:rsidRPr="00E116B6" w:rsidR="00C14277">
        <w:rPr>
          <w:i/>
          <w:lang w:val="en-GB"/>
        </w:rPr>
        <w:t>Nikolov v. Bulgaria</w:t>
      </w:r>
      <w:r w:rsidRPr="00E116B6" w:rsidR="00C14277">
        <w:rPr>
          <w:lang w:val="en-GB"/>
        </w:rPr>
        <w:t>, no.</w:t>
      </w:r>
      <w:r w:rsidRPr="00E116B6" w:rsidR="00665943">
        <w:rPr>
          <w:lang w:val="en-GB"/>
        </w:rPr>
        <w:t> </w:t>
      </w:r>
      <w:r w:rsidRPr="00E116B6" w:rsidR="00C14277">
        <w:rPr>
          <w:lang w:val="en-GB"/>
        </w:rPr>
        <w:t xml:space="preserve">38884/97, </w:t>
      </w:r>
      <w:r w:rsidRPr="00E116B6" w:rsidR="00C14277">
        <w:rPr>
          <w:rFonts w:ascii="Times New Roman" w:hAnsi="Times New Roman" w:cs="Times New Roman"/>
          <w:lang w:val="en-GB"/>
        </w:rPr>
        <w:t>§</w:t>
      </w:r>
      <w:r w:rsidRPr="00E116B6" w:rsidR="00665943">
        <w:rPr>
          <w:lang w:val="en-GB"/>
        </w:rPr>
        <w:t> </w:t>
      </w:r>
      <w:r w:rsidRPr="00E116B6" w:rsidR="00C14277">
        <w:rPr>
          <w:lang w:val="en-GB"/>
        </w:rPr>
        <w:t>74, 30</w:t>
      </w:r>
      <w:r w:rsidRPr="00E116B6" w:rsidR="0000400E">
        <w:rPr>
          <w:lang w:val="en-GB"/>
        </w:rPr>
        <w:t> </w:t>
      </w:r>
      <w:r w:rsidRPr="00E116B6" w:rsidR="00C14277">
        <w:rPr>
          <w:lang w:val="en-GB"/>
        </w:rPr>
        <w:t>January 2003</w:t>
      </w:r>
      <w:r w:rsidRPr="00E116B6" w:rsidR="00344E44">
        <w:rPr>
          <w:lang w:val="en-GB"/>
        </w:rPr>
        <w:t xml:space="preserve">, </w:t>
      </w:r>
      <w:r w:rsidRPr="00E116B6" w:rsidR="00C14277">
        <w:rPr>
          <w:lang w:val="en-GB"/>
        </w:rPr>
        <w:t xml:space="preserve">and </w:t>
      </w:r>
      <w:r w:rsidRPr="00E116B6" w:rsidR="00C14277">
        <w:rPr>
          <w:i/>
          <w:lang w:val="en-GB"/>
        </w:rPr>
        <w:t>Panchenko</w:t>
      </w:r>
      <w:r w:rsidRPr="00E116B6" w:rsidR="009F0DE4">
        <w:rPr>
          <w:lang w:val="en-GB"/>
        </w:rPr>
        <w:t>, cited above,</w:t>
      </w:r>
      <w:r w:rsidRPr="00E116B6" w:rsidR="00C14277">
        <w:rPr>
          <w:lang w:val="en-GB"/>
        </w:rPr>
        <w:t xml:space="preserve"> § 105).</w:t>
      </w:r>
    </w:p>
    <w:p w:rsidRPr="00E116B6" w:rsidR="00001486" w:rsidP="00E116B6" w:rsidRDefault="004D062F">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126</w:t>
      </w:r>
      <w:r w:rsidRPr="00E116B6">
        <w:rPr>
          <w:lang w:val="en-GB"/>
        </w:rPr>
        <w:fldChar w:fldCharType="end"/>
      </w:r>
      <w:r w:rsidRPr="00E116B6">
        <w:rPr>
          <w:lang w:val="en-GB"/>
        </w:rPr>
        <w:t>.  </w:t>
      </w:r>
      <w:r w:rsidRPr="00E116B6" w:rsidR="00C14277">
        <w:rPr>
          <w:lang w:val="en-GB"/>
        </w:rPr>
        <w:t xml:space="preserve">Having regard to the above considerations, the Court finds that by failing to address the </w:t>
      </w:r>
      <w:r w:rsidRPr="00E116B6" w:rsidR="004B00C7">
        <w:rPr>
          <w:lang w:val="en-GB"/>
        </w:rPr>
        <w:t>specific facts of the applicant</w:t>
      </w:r>
      <w:r w:rsidRPr="00E116B6" w:rsidR="00C14277">
        <w:rPr>
          <w:lang w:val="en-GB"/>
        </w:rPr>
        <w:t>s</w:t>
      </w:r>
      <w:r w:rsidRPr="00E116B6" w:rsidR="00E116B6">
        <w:rPr>
          <w:lang w:val="en-GB"/>
        </w:rPr>
        <w:t>’</w:t>
      </w:r>
      <w:r w:rsidRPr="00E116B6" w:rsidR="00C14277">
        <w:rPr>
          <w:lang w:val="en-GB"/>
        </w:rPr>
        <w:t xml:space="preserve"> case and by relying essentially </w:t>
      </w:r>
      <w:r w:rsidRPr="00E116B6" w:rsidR="006555F4">
        <w:rPr>
          <w:lang w:val="en-GB"/>
        </w:rPr>
        <w:t xml:space="preserve">on </w:t>
      </w:r>
      <w:r w:rsidRPr="00E116B6" w:rsidR="00C14277">
        <w:rPr>
          <w:lang w:val="en-GB"/>
        </w:rPr>
        <w:t xml:space="preserve">the gravity of the charges, the </w:t>
      </w:r>
      <w:r w:rsidRPr="00E116B6" w:rsidR="006B69D5">
        <w:rPr>
          <w:lang w:val="en-GB"/>
        </w:rPr>
        <w:t xml:space="preserve">domestic courts </w:t>
      </w:r>
      <w:r w:rsidRPr="00E116B6" w:rsidR="004B00C7">
        <w:rPr>
          <w:lang w:val="en-GB"/>
        </w:rPr>
        <w:t>maintained the applicant</w:t>
      </w:r>
      <w:r w:rsidRPr="00E116B6" w:rsidR="00C14277">
        <w:rPr>
          <w:lang w:val="en-GB"/>
        </w:rPr>
        <w:t>s</w:t>
      </w:r>
      <w:r w:rsidRPr="00E116B6" w:rsidR="00E116B6">
        <w:rPr>
          <w:lang w:val="en-GB"/>
        </w:rPr>
        <w:t>’</w:t>
      </w:r>
      <w:r w:rsidRPr="00E116B6" w:rsidR="004B00C7">
        <w:rPr>
          <w:lang w:val="en-GB"/>
        </w:rPr>
        <w:t xml:space="preserve"> pre-trial</w:t>
      </w:r>
      <w:r w:rsidRPr="00E116B6" w:rsidR="00C14277">
        <w:rPr>
          <w:lang w:val="en-GB"/>
        </w:rPr>
        <w:t xml:space="preserve"> detenti</w:t>
      </w:r>
      <w:r w:rsidRPr="00E116B6" w:rsidR="006555F4">
        <w:rPr>
          <w:lang w:val="en-GB"/>
        </w:rPr>
        <w:t xml:space="preserve">on </w:t>
      </w:r>
      <w:r w:rsidRPr="00E116B6" w:rsidR="006B69D5">
        <w:rPr>
          <w:lang w:val="en-GB"/>
        </w:rPr>
        <w:t xml:space="preserve">in the decisions of </w:t>
      </w:r>
      <w:r w:rsidRPr="00E116B6" w:rsidR="00335E1C">
        <w:rPr>
          <w:lang w:val="en-GB"/>
        </w:rPr>
        <w:t xml:space="preserve">10 </w:t>
      </w:r>
      <w:r w:rsidRPr="00E116B6" w:rsidR="006B69D5">
        <w:rPr>
          <w:lang w:val="en-GB"/>
        </w:rPr>
        <w:t>November 2004 and 7</w:t>
      </w:r>
      <w:r w:rsidRPr="00E116B6" w:rsidR="0000400E">
        <w:rPr>
          <w:lang w:val="en-GB"/>
        </w:rPr>
        <w:t> </w:t>
      </w:r>
      <w:r w:rsidRPr="00E116B6" w:rsidR="006B69D5">
        <w:rPr>
          <w:lang w:val="en-GB"/>
        </w:rPr>
        <w:t xml:space="preserve">June 2005 </w:t>
      </w:r>
      <w:r w:rsidRPr="00E116B6" w:rsidR="006555F4">
        <w:rPr>
          <w:lang w:val="en-GB"/>
        </w:rPr>
        <w:t xml:space="preserve">on </w:t>
      </w:r>
      <w:r w:rsidRPr="00E116B6" w:rsidR="00C14277">
        <w:rPr>
          <w:lang w:val="en-GB"/>
        </w:rPr>
        <w:t>grounds which</w:t>
      </w:r>
      <w:r w:rsidRPr="00E116B6" w:rsidR="00982C25">
        <w:rPr>
          <w:lang w:val="en-GB"/>
        </w:rPr>
        <w:t>, even if “relevant”,</w:t>
      </w:r>
      <w:r w:rsidRPr="00E116B6" w:rsidR="00C14277">
        <w:rPr>
          <w:lang w:val="en-GB"/>
        </w:rPr>
        <w:t xml:space="preserve"> cannot be regarded as “sufficient”.</w:t>
      </w:r>
    </w:p>
    <w:p w:rsidRPr="00E116B6" w:rsidR="00C14277" w:rsidP="00E116B6" w:rsidRDefault="00001486">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127</w:t>
      </w:r>
      <w:r w:rsidRPr="00E116B6">
        <w:rPr>
          <w:lang w:val="en-GB"/>
        </w:rPr>
        <w:fldChar w:fldCharType="end"/>
      </w:r>
      <w:r w:rsidRPr="00E116B6">
        <w:rPr>
          <w:lang w:val="en-GB"/>
        </w:rPr>
        <w:t>.  </w:t>
      </w:r>
      <w:r w:rsidRPr="00E116B6" w:rsidR="00C14277">
        <w:rPr>
          <w:lang w:val="en-GB"/>
        </w:rPr>
        <w:t>Consequently, the Court concludes that there has been a violati</w:t>
      </w:r>
      <w:r w:rsidRPr="00E116B6" w:rsidR="006555F4">
        <w:rPr>
          <w:lang w:val="en-GB"/>
        </w:rPr>
        <w:t xml:space="preserve">on </w:t>
      </w:r>
      <w:r w:rsidRPr="00E116B6" w:rsidR="00C14277">
        <w:rPr>
          <w:lang w:val="en-GB"/>
        </w:rPr>
        <w:t>of Article 5 § 3 of the Convention.</w:t>
      </w:r>
    </w:p>
    <w:p w:rsidRPr="00E116B6" w:rsidR="00014566" w:rsidP="00E116B6" w:rsidRDefault="00AA78B0">
      <w:pPr>
        <w:pStyle w:val="ECHRHeading1"/>
        <w:rPr>
          <w:lang w:val="en-GB"/>
        </w:rPr>
      </w:pPr>
      <w:r w:rsidRPr="00E116B6">
        <w:rPr>
          <w:lang w:val="en-GB"/>
        </w:rPr>
        <w:t>IV</w:t>
      </w:r>
      <w:r w:rsidRPr="00E116B6" w:rsidR="00014566">
        <w:rPr>
          <w:lang w:val="en-GB"/>
        </w:rPr>
        <w:t xml:space="preserve">.  ALLEGED VIOLATION OF ARTICLE </w:t>
      </w:r>
      <w:r w:rsidRPr="00E116B6">
        <w:rPr>
          <w:lang w:val="en-GB"/>
        </w:rPr>
        <w:t xml:space="preserve">5 </w:t>
      </w:r>
      <w:r w:rsidRPr="00E116B6">
        <w:rPr>
          <w:rFonts w:cstheme="majorHAnsi"/>
          <w:lang w:val="en-GB"/>
        </w:rPr>
        <w:t>§ 4</w:t>
      </w:r>
      <w:r w:rsidRPr="00E116B6" w:rsidR="00014566">
        <w:rPr>
          <w:lang w:val="en-GB"/>
        </w:rPr>
        <w:t xml:space="preserve"> OF THE CONVENTION</w:t>
      </w:r>
    </w:p>
    <w:p w:rsidRPr="00E116B6" w:rsidR="00014566" w:rsidP="00E116B6" w:rsidRDefault="00570E7B">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128</w:t>
      </w:r>
      <w:r w:rsidRPr="00E116B6">
        <w:rPr>
          <w:lang w:val="en-GB"/>
        </w:rPr>
        <w:fldChar w:fldCharType="end"/>
      </w:r>
      <w:r w:rsidRPr="00E116B6" w:rsidR="00014566">
        <w:rPr>
          <w:lang w:val="en-GB"/>
        </w:rPr>
        <w:t>.  The applicant</w:t>
      </w:r>
      <w:r w:rsidRPr="00E116B6">
        <w:rPr>
          <w:lang w:val="en-GB"/>
        </w:rPr>
        <w:t>s</w:t>
      </w:r>
      <w:r w:rsidRPr="00E116B6" w:rsidR="00014566">
        <w:rPr>
          <w:lang w:val="en-GB"/>
        </w:rPr>
        <w:t xml:space="preserve"> complained that </w:t>
      </w:r>
      <w:r w:rsidRPr="00E116B6" w:rsidR="00162B14">
        <w:rPr>
          <w:lang w:val="en-GB"/>
        </w:rPr>
        <w:t>the prosecutor</w:t>
      </w:r>
      <w:r w:rsidRPr="00E116B6" w:rsidR="00E116B6">
        <w:rPr>
          <w:lang w:val="en-GB"/>
        </w:rPr>
        <w:t>’</w:t>
      </w:r>
      <w:r w:rsidRPr="00E116B6" w:rsidR="00162B14">
        <w:rPr>
          <w:lang w:val="en-GB"/>
        </w:rPr>
        <w:t xml:space="preserve">s </w:t>
      </w:r>
      <w:r w:rsidRPr="00E116B6" w:rsidR="00804FCB">
        <w:rPr>
          <w:lang w:val="en-GB"/>
        </w:rPr>
        <w:t>applicati</w:t>
      </w:r>
      <w:r w:rsidRPr="00E116B6" w:rsidR="006555F4">
        <w:rPr>
          <w:lang w:val="en-GB"/>
        </w:rPr>
        <w:t xml:space="preserve">on </w:t>
      </w:r>
      <w:r w:rsidRPr="00E116B6" w:rsidR="00162B14">
        <w:rPr>
          <w:lang w:val="en-GB"/>
        </w:rPr>
        <w:t>of 5</w:t>
      </w:r>
      <w:r w:rsidRPr="00E116B6" w:rsidR="0000400E">
        <w:rPr>
          <w:lang w:val="en-GB"/>
        </w:rPr>
        <w:t> </w:t>
      </w:r>
      <w:r w:rsidRPr="00E116B6" w:rsidR="00162B14">
        <w:rPr>
          <w:lang w:val="en-GB"/>
        </w:rPr>
        <w:t xml:space="preserve">November 2004 </w:t>
      </w:r>
      <w:r w:rsidRPr="00E116B6" w:rsidR="00344E44">
        <w:rPr>
          <w:lang w:val="en-GB"/>
        </w:rPr>
        <w:t xml:space="preserve">to </w:t>
      </w:r>
      <w:r w:rsidRPr="00E116B6" w:rsidR="00162B14">
        <w:rPr>
          <w:lang w:val="en-GB"/>
        </w:rPr>
        <w:t>exten</w:t>
      </w:r>
      <w:r w:rsidRPr="00E116B6" w:rsidR="00344E44">
        <w:rPr>
          <w:lang w:val="en-GB"/>
        </w:rPr>
        <w:t xml:space="preserve">d </w:t>
      </w:r>
      <w:r w:rsidRPr="00E116B6" w:rsidR="00162B14">
        <w:rPr>
          <w:lang w:val="en-GB"/>
        </w:rPr>
        <w:t>their detenti</w:t>
      </w:r>
      <w:r w:rsidRPr="00E116B6" w:rsidR="006555F4">
        <w:rPr>
          <w:lang w:val="en-GB"/>
        </w:rPr>
        <w:t xml:space="preserve">on on </w:t>
      </w:r>
      <w:r w:rsidRPr="00E116B6" w:rsidR="00162B14">
        <w:rPr>
          <w:lang w:val="en-GB"/>
        </w:rPr>
        <w:t>remand had not been transmitted to them in advance of the judicial examinati</w:t>
      </w:r>
      <w:r w:rsidRPr="00E116B6" w:rsidR="006555F4">
        <w:rPr>
          <w:lang w:val="en-GB"/>
        </w:rPr>
        <w:t xml:space="preserve">on </w:t>
      </w:r>
      <w:r w:rsidRPr="00E116B6" w:rsidR="00162B14">
        <w:rPr>
          <w:lang w:val="en-GB"/>
        </w:rPr>
        <w:t xml:space="preserve">of that </w:t>
      </w:r>
      <w:r w:rsidRPr="00E116B6" w:rsidR="00804FCB">
        <w:rPr>
          <w:lang w:val="en-GB"/>
        </w:rPr>
        <w:t>applicati</w:t>
      </w:r>
      <w:r w:rsidRPr="00E116B6" w:rsidR="006555F4">
        <w:rPr>
          <w:lang w:val="en-GB"/>
        </w:rPr>
        <w:t xml:space="preserve">on on </w:t>
      </w:r>
      <w:r w:rsidRPr="00E116B6" w:rsidR="00162B14">
        <w:rPr>
          <w:lang w:val="en-GB"/>
        </w:rPr>
        <w:t>10 November 2004. The</w:t>
      </w:r>
      <w:r w:rsidRPr="00E116B6" w:rsidR="004B00C7">
        <w:rPr>
          <w:lang w:val="en-GB"/>
        </w:rPr>
        <w:t>y</w:t>
      </w:r>
      <w:r w:rsidRPr="00E116B6" w:rsidR="00162B14">
        <w:rPr>
          <w:lang w:val="en-GB"/>
        </w:rPr>
        <w:t xml:space="preserve"> cited Article 5 </w:t>
      </w:r>
      <w:r w:rsidRPr="00E116B6" w:rsidR="00162B14">
        <w:rPr>
          <w:rFonts w:cstheme="minorHAnsi"/>
          <w:lang w:val="en-GB"/>
        </w:rPr>
        <w:t>§</w:t>
      </w:r>
      <w:r w:rsidRPr="00E116B6" w:rsidR="00162B14">
        <w:rPr>
          <w:lang w:val="en-GB"/>
        </w:rPr>
        <w:t xml:space="preserve"> 4 of the Conve</w:t>
      </w:r>
      <w:r w:rsidRPr="00E116B6" w:rsidR="007A7BEA">
        <w:rPr>
          <w:lang w:val="en-GB"/>
        </w:rPr>
        <w:t>n</w:t>
      </w:r>
      <w:r w:rsidRPr="00E116B6" w:rsidR="00162B14">
        <w:rPr>
          <w:lang w:val="en-GB"/>
        </w:rPr>
        <w:t>ti</w:t>
      </w:r>
      <w:r w:rsidRPr="00E116B6" w:rsidR="006555F4">
        <w:rPr>
          <w:lang w:val="en-GB"/>
        </w:rPr>
        <w:t xml:space="preserve">on </w:t>
      </w:r>
      <w:r w:rsidRPr="00E116B6" w:rsidR="004B00C7">
        <w:rPr>
          <w:lang w:val="en-GB"/>
        </w:rPr>
        <w:t>which</w:t>
      </w:r>
      <w:r w:rsidRPr="00E116B6" w:rsidR="00162B14">
        <w:rPr>
          <w:lang w:val="en-GB"/>
        </w:rPr>
        <w:t xml:space="preserve"> reads as follows:</w:t>
      </w:r>
    </w:p>
    <w:p w:rsidRPr="00E116B6" w:rsidR="00162B14" w:rsidP="00E116B6" w:rsidRDefault="00162B14">
      <w:pPr>
        <w:pStyle w:val="ECHRParaQuote"/>
        <w:rPr>
          <w:lang w:val="en-GB"/>
        </w:rPr>
      </w:pPr>
      <w:r w:rsidRPr="00E116B6">
        <w:rPr>
          <w:lang w:val="en-GB"/>
        </w:rPr>
        <w:t>“Everyone who is deprived of his liberty by arrest or detenti</w:t>
      </w:r>
      <w:r w:rsidRPr="00E116B6" w:rsidR="006555F4">
        <w:rPr>
          <w:lang w:val="en-GB"/>
        </w:rPr>
        <w:t xml:space="preserve">on </w:t>
      </w:r>
      <w:r w:rsidRPr="00E116B6">
        <w:rPr>
          <w:lang w:val="en-GB"/>
        </w:rPr>
        <w:t>shall be entitled to take proceedings by which the lawfulness of his detenti</w:t>
      </w:r>
      <w:r w:rsidRPr="00E116B6" w:rsidR="006555F4">
        <w:rPr>
          <w:lang w:val="en-GB"/>
        </w:rPr>
        <w:t xml:space="preserve">on </w:t>
      </w:r>
      <w:r w:rsidRPr="00E116B6">
        <w:rPr>
          <w:lang w:val="en-GB"/>
        </w:rPr>
        <w:t>shall be decided speedily by a court and his release ordered if the detenti</w:t>
      </w:r>
      <w:r w:rsidRPr="00E116B6" w:rsidR="006555F4">
        <w:rPr>
          <w:lang w:val="en-GB"/>
        </w:rPr>
        <w:t xml:space="preserve">on </w:t>
      </w:r>
      <w:r w:rsidRPr="00E116B6">
        <w:rPr>
          <w:lang w:val="en-GB"/>
        </w:rPr>
        <w:t>is not lawful.”</w:t>
      </w:r>
    </w:p>
    <w:p w:rsidRPr="00E116B6" w:rsidR="00D40E6A" w:rsidP="00E116B6" w:rsidRDefault="00D40E6A">
      <w:pPr>
        <w:pStyle w:val="ECHRHeading2"/>
        <w:rPr>
          <w:lang w:val="en-GB"/>
        </w:rPr>
      </w:pPr>
      <w:r w:rsidRPr="00E116B6">
        <w:rPr>
          <w:lang w:val="en-GB"/>
        </w:rPr>
        <w:t>Admissibility</w:t>
      </w:r>
    </w:p>
    <w:p w:rsidRPr="00E116B6" w:rsidR="004B00C7" w:rsidP="00E116B6" w:rsidRDefault="00BD03AB">
      <w:pPr>
        <w:pStyle w:val="ECHRHeading3"/>
        <w:rPr>
          <w:lang w:val="en-GB"/>
        </w:rPr>
      </w:pPr>
      <w:r w:rsidRPr="00E116B6">
        <w:rPr>
          <w:lang w:val="en-GB"/>
        </w:rPr>
        <w:t>1.  </w:t>
      </w:r>
      <w:r w:rsidRPr="00E116B6" w:rsidR="004B00C7">
        <w:rPr>
          <w:lang w:val="en-GB"/>
        </w:rPr>
        <w:t>The parties</w:t>
      </w:r>
      <w:r w:rsidRPr="00E116B6" w:rsidR="00E116B6">
        <w:rPr>
          <w:lang w:val="en-GB"/>
        </w:rPr>
        <w:t>’</w:t>
      </w:r>
      <w:r w:rsidRPr="00E116B6" w:rsidR="004B00C7">
        <w:rPr>
          <w:lang w:val="en-GB"/>
        </w:rPr>
        <w:t xml:space="preserve"> arguments</w:t>
      </w:r>
    </w:p>
    <w:p w:rsidRPr="00E116B6" w:rsidR="004B00C7" w:rsidP="00E116B6" w:rsidRDefault="004B00C7">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129</w:t>
      </w:r>
      <w:r w:rsidRPr="00E116B6">
        <w:rPr>
          <w:lang w:val="en-GB"/>
        </w:rPr>
        <w:fldChar w:fldCharType="end"/>
      </w:r>
      <w:r w:rsidRPr="00E116B6">
        <w:rPr>
          <w:lang w:val="en-GB"/>
        </w:rPr>
        <w:t xml:space="preserve">.  The Government submitted that although </w:t>
      </w:r>
      <w:r w:rsidRPr="00E116B6" w:rsidR="00344E44">
        <w:rPr>
          <w:lang w:val="en-GB"/>
        </w:rPr>
        <w:t xml:space="preserve">the </w:t>
      </w:r>
      <w:r w:rsidRPr="00E116B6">
        <w:rPr>
          <w:lang w:val="en-GB"/>
        </w:rPr>
        <w:t>prosecutor</w:t>
      </w:r>
      <w:r w:rsidRPr="00E116B6" w:rsidR="00E116B6">
        <w:rPr>
          <w:lang w:val="en-GB"/>
        </w:rPr>
        <w:t>’</w:t>
      </w:r>
      <w:r w:rsidRPr="00E116B6">
        <w:rPr>
          <w:lang w:val="en-GB"/>
        </w:rPr>
        <w:t xml:space="preserve">s </w:t>
      </w:r>
      <w:r w:rsidRPr="00E116B6" w:rsidR="00804FCB">
        <w:rPr>
          <w:lang w:val="en-GB"/>
        </w:rPr>
        <w:t>applicati</w:t>
      </w:r>
      <w:r w:rsidRPr="00E116B6" w:rsidR="006555F4">
        <w:rPr>
          <w:lang w:val="en-GB"/>
        </w:rPr>
        <w:t xml:space="preserve">on </w:t>
      </w:r>
      <w:r w:rsidRPr="00E116B6" w:rsidR="00344E44">
        <w:rPr>
          <w:lang w:val="en-GB"/>
        </w:rPr>
        <w:t xml:space="preserve">to extend </w:t>
      </w:r>
      <w:r w:rsidRPr="00E116B6">
        <w:rPr>
          <w:lang w:val="en-GB"/>
        </w:rPr>
        <w:t>the applicant</w:t>
      </w:r>
      <w:r w:rsidRPr="00E116B6" w:rsidR="00E116B6">
        <w:rPr>
          <w:lang w:val="en-GB"/>
        </w:rPr>
        <w:t>’</w:t>
      </w:r>
      <w:r w:rsidRPr="00E116B6">
        <w:rPr>
          <w:lang w:val="en-GB"/>
        </w:rPr>
        <w:t>s detenti</w:t>
      </w:r>
      <w:r w:rsidRPr="00E116B6" w:rsidR="006555F4">
        <w:rPr>
          <w:lang w:val="en-GB"/>
        </w:rPr>
        <w:t xml:space="preserve">on on </w:t>
      </w:r>
      <w:r w:rsidRPr="00E116B6">
        <w:rPr>
          <w:lang w:val="en-GB"/>
        </w:rPr>
        <w:t xml:space="preserve">remand had not been communicated to them in advance, the relevant judicial review of that </w:t>
      </w:r>
      <w:r w:rsidRPr="00E116B6" w:rsidR="00804FCB">
        <w:rPr>
          <w:lang w:val="en-GB"/>
        </w:rPr>
        <w:t>applicati</w:t>
      </w:r>
      <w:r w:rsidRPr="00E116B6" w:rsidR="006555F4">
        <w:rPr>
          <w:lang w:val="en-GB"/>
        </w:rPr>
        <w:t xml:space="preserve">on </w:t>
      </w:r>
      <w:r w:rsidRPr="00E116B6">
        <w:rPr>
          <w:lang w:val="en-GB"/>
        </w:rPr>
        <w:t>had been conducted at an oral, adversarial hearing, in the presence of the applicants</w:t>
      </w:r>
      <w:r w:rsidRPr="00E116B6" w:rsidR="00E116B6">
        <w:rPr>
          <w:lang w:val="en-GB"/>
        </w:rPr>
        <w:t>’</w:t>
      </w:r>
      <w:r w:rsidRPr="00E116B6">
        <w:rPr>
          <w:lang w:val="en-GB"/>
        </w:rPr>
        <w:t xml:space="preserve"> lawyers, </w:t>
      </w:r>
      <w:r w:rsidRPr="00E116B6" w:rsidR="006555F4">
        <w:rPr>
          <w:lang w:val="en-GB"/>
        </w:rPr>
        <w:t xml:space="preserve">on </w:t>
      </w:r>
      <w:r w:rsidRPr="00E116B6">
        <w:rPr>
          <w:lang w:val="en-GB"/>
        </w:rPr>
        <w:t xml:space="preserve">10 November 2004. Consequently, the applicants had had ample opportunity to submit </w:t>
      </w:r>
      <w:r w:rsidRPr="00E116B6" w:rsidR="00B44E69">
        <w:rPr>
          <w:lang w:val="en-GB"/>
        </w:rPr>
        <w:t xml:space="preserve">their arguments </w:t>
      </w:r>
      <w:r w:rsidRPr="00E116B6" w:rsidR="00804FCB">
        <w:rPr>
          <w:lang w:val="en-GB"/>
        </w:rPr>
        <w:t xml:space="preserve">to </w:t>
      </w:r>
      <w:r w:rsidRPr="00E116B6">
        <w:rPr>
          <w:lang w:val="en-GB"/>
        </w:rPr>
        <w:t xml:space="preserve">the </w:t>
      </w:r>
      <w:r w:rsidRPr="00E116B6" w:rsidR="00B44E69">
        <w:rPr>
          <w:lang w:val="en-GB"/>
        </w:rPr>
        <w:t xml:space="preserve">relevant </w:t>
      </w:r>
      <w:r w:rsidRPr="00E116B6">
        <w:rPr>
          <w:lang w:val="en-GB"/>
        </w:rPr>
        <w:t>domestic court.</w:t>
      </w:r>
    </w:p>
    <w:p w:rsidRPr="00E116B6" w:rsidR="004B00C7" w:rsidP="00E116B6" w:rsidRDefault="004B00C7">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130</w:t>
      </w:r>
      <w:r w:rsidRPr="00E116B6">
        <w:rPr>
          <w:lang w:val="en-GB"/>
        </w:rPr>
        <w:fldChar w:fldCharType="end"/>
      </w:r>
      <w:r w:rsidRPr="00E116B6">
        <w:rPr>
          <w:lang w:val="en-GB"/>
        </w:rPr>
        <w:t>.  The applicants replied that since the judicial examinati</w:t>
      </w:r>
      <w:r w:rsidRPr="00E116B6" w:rsidR="006555F4">
        <w:rPr>
          <w:lang w:val="en-GB"/>
        </w:rPr>
        <w:t xml:space="preserve">on </w:t>
      </w:r>
      <w:r w:rsidRPr="00E116B6">
        <w:rPr>
          <w:lang w:val="en-GB"/>
        </w:rPr>
        <w:t>of the prosecutor</w:t>
      </w:r>
      <w:r w:rsidRPr="00E116B6" w:rsidR="00E116B6">
        <w:rPr>
          <w:lang w:val="en-GB"/>
        </w:rPr>
        <w:t>’</w:t>
      </w:r>
      <w:r w:rsidRPr="00E116B6">
        <w:rPr>
          <w:lang w:val="en-GB"/>
        </w:rPr>
        <w:t xml:space="preserve">s </w:t>
      </w:r>
      <w:r w:rsidRPr="00E116B6" w:rsidR="00804FCB">
        <w:rPr>
          <w:lang w:val="en-GB"/>
        </w:rPr>
        <w:t>applicati</w:t>
      </w:r>
      <w:r w:rsidRPr="00E116B6" w:rsidR="006555F4">
        <w:rPr>
          <w:lang w:val="en-GB"/>
        </w:rPr>
        <w:t xml:space="preserve">on </w:t>
      </w:r>
      <w:r w:rsidRPr="00E116B6" w:rsidR="00344E44">
        <w:rPr>
          <w:lang w:val="en-GB"/>
        </w:rPr>
        <w:t xml:space="preserve">to </w:t>
      </w:r>
      <w:r w:rsidRPr="00E116B6">
        <w:rPr>
          <w:lang w:val="en-GB"/>
        </w:rPr>
        <w:t>exten</w:t>
      </w:r>
      <w:r w:rsidRPr="00E116B6" w:rsidR="00344E44">
        <w:rPr>
          <w:lang w:val="en-GB"/>
        </w:rPr>
        <w:t>d</w:t>
      </w:r>
      <w:r w:rsidRPr="00E116B6">
        <w:rPr>
          <w:lang w:val="en-GB"/>
        </w:rPr>
        <w:t xml:space="preserve"> </w:t>
      </w:r>
      <w:r w:rsidRPr="00E116B6" w:rsidR="00B44E69">
        <w:rPr>
          <w:lang w:val="en-GB"/>
        </w:rPr>
        <w:t xml:space="preserve">their </w:t>
      </w:r>
      <w:r w:rsidRPr="00E116B6">
        <w:rPr>
          <w:lang w:val="en-GB"/>
        </w:rPr>
        <w:t>detenti</w:t>
      </w:r>
      <w:r w:rsidRPr="00E116B6" w:rsidR="006555F4">
        <w:rPr>
          <w:lang w:val="en-GB"/>
        </w:rPr>
        <w:t xml:space="preserve">on </w:t>
      </w:r>
      <w:r w:rsidRPr="00E116B6">
        <w:rPr>
          <w:lang w:val="en-GB"/>
        </w:rPr>
        <w:t>had taken place five days after th</w:t>
      </w:r>
      <w:r w:rsidRPr="00E116B6" w:rsidR="00804FCB">
        <w:rPr>
          <w:lang w:val="en-GB"/>
        </w:rPr>
        <w:t>e applicati</w:t>
      </w:r>
      <w:r w:rsidRPr="00E116B6" w:rsidR="006555F4">
        <w:rPr>
          <w:lang w:val="en-GB"/>
        </w:rPr>
        <w:t xml:space="preserve">on </w:t>
      </w:r>
      <w:r w:rsidRPr="00E116B6">
        <w:rPr>
          <w:lang w:val="en-GB"/>
        </w:rPr>
        <w:t xml:space="preserve">had been </w:t>
      </w:r>
      <w:r w:rsidRPr="00E116B6" w:rsidR="00804FCB">
        <w:rPr>
          <w:lang w:val="en-GB"/>
        </w:rPr>
        <w:t xml:space="preserve">lodged </w:t>
      </w:r>
      <w:r w:rsidRPr="00E116B6">
        <w:rPr>
          <w:lang w:val="en-GB"/>
        </w:rPr>
        <w:t xml:space="preserve">with the relevant domestic court, there had </w:t>
      </w:r>
      <w:r w:rsidRPr="00E116B6" w:rsidR="00344E44">
        <w:rPr>
          <w:lang w:val="en-GB"/>
        </w:rPr>
        <w:t xml:space="preserve">not </w:t>
      </w:r>
      <w:r w:rsidRPr="00E116B6">
        <w:rPr>
          <w:lang w:val="en-GB"/>
        </w:rPr>
        <w:t xml:space="preserve">been sufficient time to ensure </w:t>
      </w:r>
      <w:r w:rsidRPr="00E116B6" w:rsidR="00344E44">
        <w:rPr>
          <w:lang w:val="en-GB"/>
        </w:rPr>
        <w:t>a</w:t>
      </w:r>
      <w:r w:rsidRPr="00E116B6">
        <w:rPr>
          <w:lang w:val="en-GB"/>
        </w:rPr>
        <w:t xml:space="preserve"> prior exchange of the parties</w:t>
      </w:r>
      <w:r w:rsidRPr="00E116B6" w:rsidR="00E116B6">
        <w:rPr>
          <w:lang w:val="en-GB"/>
        </w:rPr>
        <w:t>’</w:t>
      </w:r>
      <w:r w:rsidRPr="00E116B6">
        <w:rPr>
          <w:lang w:val="en-GB"/>
        </w:rPr>
        <w:t xml:space="preserve"> written comments </w:t>
      </w:r>
      <w:r w:rsidRPr="00E116B6" w:rsidR="006555F4">
        <w:rPr>
          <w:lang w:val="en-GB"/>
        </w:rPr>
        <w:t xml:space="preserve">on </w:t>
      </w:r>
      <w:r w:rsidRPr="00E116B6">
        <w:rPr>
          <w:lang w:val="en-GB"/>
        </w:rPr>
        <w:t>the matter. Had the applicants</w:t>
      </w:r>
      <w:r w:rsidRPr="00E116B6" w:rsidR="00E116B6">
        <w:rPr>
          <w:lang w:val="en-GB"/>
        </w:rPr>
        <w:t>’</w:t>
      </w:r>
      <w:r w:rsidRPr="00E116B6">
        <w:rPr>
          <w:lang w:val="en-GB"/>
        </w:rPr>
        <w:t xml:space="preserve"> lawyers learnt of the arguments in </w:t>
      </w:r>
      <w:r w:rsidRPr="00E116B6" w:rsidR="00B44E69">
        <w:rPr>
          <w:lang w:val="en-GB"/>
        </w:rPr>
        <w:t xml:space="preserve">the </w:t>
      </w:r>
      <w:r w:rsidRPr="00E116B6">
        <w:rPr>
          <w:lang w:val="en-GB"/>
        </w:rPr>
        <w:t>prosecutor</w:t>
      </w:r>
      <w:r w:rsidRPr="00E116B6" w:rsidR="00E116B6">
        <w:rPr>
          <w:lang w:val="en-GB"/>
        </w:rPr>
        <w:t>’</w:t>
      </w:r>
      <w:r w:rsidRPr="00E116B6">
        <w:rPr>
          <w:lang w:val="en-GB"/>
        </w:rPr>
        <w:t xml:space="preserve">s </w:t>
      </w:r>
      <w:r w:rsidRPr="00E116B6" w:rsidR="00804FCB">
        <w:rPr>
          <w:lang w:val="en-GB"/>
        </w:rPr>
        <w:t>applicati</w:t>
      </w:r>
      <w:r w:rsidRPr="00E116B6" w:rsidR="006555F4">
        <w:rPr>
          <w:lang w:val="en-GB"/>
        </w:rPr>
        <w:t xml:space="preserve">on </w:t>
      </w:r>
      <w:r w:rsidRPr="00E116B6">
        <w:rPr>
          <w:lang w:val="en-GB"/>
        </w:rPr>
        <w:t>earlier, they would have been better prepared for the oral hearing of 10 November 2004.</w:t>
      </w:r>
    </w:p>
    <w:p w:rsidRPr="00E116B6" w:rsidR="004B00C7" w:rsidP="00E116B6" w:rsidRDefault="00BD03AB">
      <w:pPr>
        <w:pStyle w:val="ECHRHeading3"/>
        <w:rPr>
          <w:lang w:val="en-GB"/>
        </w:rPr>
      </w:pPr>
      <w:r w:rsidRPr="00E116B6">
        <w:rPr>
          <w:lang w:val="en-GB"/>
        </w:rPr>
        <w:t>2.  </w:t>
      </w:r>
      <w:r w:rsidRPr="00E116B6" w:rsidR="004B00C7">
        <w:rPr>
          <w:lang w:val="en-GB"/>
        </w:rPr>
        <w:t>The Court</w:t>
      </w:r>
      <w:r w:rsidRPr="00E116B6" w:rsidR="00E116B6">
        <w:rPr>
          <w:lang w:val="en-GB"/>
        </w:rPr>
        <w:t>’</w:t>
      </w:r>
      <w:r w:rsidRPr="00E116B6" w:rsidR="004B00C7">
        <w:rPr>
          <w:lang w:val="en-GB"/>
        </w:rPr>
        <w:t>s assessment</w:t>
      </w:r>
    </w:p>
    <w:p w:rsidRPr="00E116B6" w:rsidR="00D40E6A" w:rsidP="00E116B6" w:rsidRDefault="00BC5822">
      <w:pPr>
        <w:pStyle w:val="ECHRPara"/>
        <w:rPr>
          <w:i/>
          <w:iCs/>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131</w:t>
      </w:r>
      <w:r w:rsidRPr="00E116B6">
        <w:rPr>
          <w:lang w:val="en-GB"/>
        </w:rPr>
        <w:fldChar w:fldCharType="end"/>
      </w:r>
      <w:r w:rsidRPr="00E116B6">
        <w:rPr>
          <w:lang w:val="en-GB"/>
        </w:rPr>
        <w:t>.  </w:t>
      </w:r>
      <w:r w:rsidRPr="00E116B6" w:rsidR="00D40E6A">
        <w:rPr>
          <w:lang w:val="en-GB"/>
        </w:rPr>
        <w:t xml:space="preserve">The Court reiterates </w:t>
      </w:r>
      <w:r w:rsidRPr="00E116B6" w:rsidR="008C6B56">
        <w:rPr>
          <w:lang w:val="en-GB"/>
        </w:rPr>
        <w:t>that by virtue of Article 5 § 4 an arrested or detained pers</w:t>
      </w:r>
      <w:r w:rsidRPr="00E116B6" w:rsidR="006555F4">
        <w:rPr>
          <w:lang w:val="en-GB"/>
        </w:rPr>
        <w:t xml:space="preserve">on </w:t>
      </w:r>
      <w:r w:rsidRPr="00E116B6" w:rsidR="008C6B56">
        <w:rPr>
          <w:lang w:val="en-GB"/>
        </w:rPr>
        <w:t>is entitled to bring proceedings for the review by a court of the procedural and substantive conditions which are essential for the “lawfulness”, in the sense of Article 5 § 1, of his or her deprivati</w:t>
      </w:r>
      <w:r w:rsidRPr="00E116B6" w:rsidR="006555F4">
        <w:rPr>
          <w:lang w:val="en-GB"/>
        </w:rPr>
        <w:t xml:space="preserve">on </w:t>
      </w:r>
      <w:r w:rsidRPr="00E116B6" w:rsidR="008C6B56">
        <w:rPr>
          <w:lang w:val="en-GB"/>
        </w:rPr>
        <w:t>of liberty. Although it is not always necessary that the procedure under Article</w:t>
      </w:r>
      <w:r w:rsidRPr="00E116B6" w:rsidR="00A05C4D">
        <w:rPr>
          <w:lang w:val="en-GB"/>
        </w:rPr>
        <w:t> </w:t>
      </w:r>
      <w:r w:rsidRPr="00E116B6" w:rsidR="008C6B56">
        <w:rPr>
          <w:lang w:val="en-GB"/>
        </w:rPr>
        <w:t>5 § 4 be attended by the same guarantees as those required under Article 6</w:t>
      </w:r>
      <w:r w:rsidRPr="00E116B6" w:rsidR="0000400E">
        <w:rPr>
          <w:lang w:val="en-GB"/>
        </w:rPr>
        <w:t> </w:t>
      </w:r>
      <w:r w:rsidRPr="00E116B6" w:rsidR="008C6B56">
        <w:rPr>
          <w:lang w:val="en-GB"/>
        </w:rPr>
        <w:t>§</w:t>
      </w:r>
      <w:r w:rsidRPr="00E116B6" w:rsidR="0000400E">
        <w:rPr>
          <w:lang w:val="en-GB"/>
        </w:rPr>
        <w:t> </w:t>
      </w:r>
      <w:r w:rsidRPr="00E116B6" w:rsidR="008C6B56">
        <w:rPr>
          <w:lang w:val="en-GB"/>
        </w:rPr>
        <w:t>1 of the Conventi</w:t>
      </w:r>
      <w:r w:rsidRPr="00E116B6" w:rsidR="006555F4">
        <w:rPr>
          <w:lang w:val="en-GB"/>
        </w:rPr>
        <w:t xml:space="preserve">on </w:t>
      </w:r>
      <w:r w:rsidRPr="00E116B6" w:rsidR="008C6B56">
        <w:rPr>
          <w:lang w:val="en-GB"/>
        </w:rPr>
        <w:t>for criminal or civil litigation, it must have a judicial character and give to the individual concerned guarantees appropriate to the kind of deprivati</w:t>
      </w:r>
      <w:r w:rsidRPr="00E116B6" w:rsidR="006555F4">
        <w:rPr>
          <w:lang w:val="en-GB"/>
        </w:rPr>
        <w:t xml:space="preserve">on </w:t>
      </w:r>
      <w:r w:rsidRPr="00E116B6" w:rsidR="008C6B56">
        <w:rPr>
          <w:lang w:val="en-GB"/>
        </w:rPr>
        <w:t>of liberty in question. In order to determine whether proceedings provide the “fundamental guarantees of procedure applied in matters of deprivati</w:t>
      </w:r>
      <w:r w:rsidRPr="00E116B6" w:rsidR="006555F4">
        <w:rPr>
          <w:lang w:val="en-GB"/>
        </w:rPr>
        <w:t xml:space="preserve">on </w:t>
      </w:r>
      <w:r w:rsidRPr="00E116B6" w:rsidR="008C6B56">
        <w:rPr>
          <w:lang w:val="en-GB"/>
        </w:rPr>
        <w:t xml:space="preserve">of liberty” regard must be had to the particular nature of the circumstances in which such proceedings take place </w:t>
      </w:r>
      <w:r w:rsidRPr="00E116B6" w:rsidR="00D40E6A">
        <w:rPr>
          <w:lang w:val="en-GB"/>
        </w:rPr>
        <w:t>(see, for instance,</w:t>
      </w:r>
      <w:r w:rsidRPr="00E116B6" w:rsidR="00111B57">
        <w:rPr>
          <w:lang w:val="en-GB"/>
        </w:rPr>
        <w:t xml:space="preserve"> </w:t>
      </w:r>
      <w:r w:rsidRPr="00E116B6" w:rsidR="00111B57">
        <w:rPr>
          <w:i/>
          <w:lang w:val="en-GB"/>
        </w:rPr>
        <w:t>Stanev v. Bulgaria</w:t>
      </w:r>
      <w:r w:rsidRPr="00E116B6" w:rsidR="00111B57">
        <w:rPr>
          <w:i/>
        </w:rPr>
        <w:t xml:space="preserve"> </w:t>
      </w:r>
      <w:r w:rsidRPr="00E116B6" w:rsidR="00111B57">
        <w:rPr>
          <w:lang w:val="en-GB"/>
        </w:rPr>
        <w:t>[GC], no. 36760/06</w:t>
      </w:r>
      <w:r w:rsidRPr="00E116B6" w:rsidR="00111B57">
        <w:rPr>
          <w:snapToGrid w:val="0"/>
          <w:szCs w:val="24"/>
          <w:lang w:val="en-GB"/>
        </w:rPr>
        <w:t xml:space="preserve">, § 171, </w:t>
      </w:r>
      <w:r w:rsidRPr="00E116B6" w:rsidR="00111B57">
        <w:rPr>
          <w:snapToGrid w:val="0"/>
          <w:lang w:val="en-GB"/>
        </w:rPr>
        <w:t>ECHR</w:t>
      </w:r>
      <w:r w:rsidRPr="00E116B6" w:rsidR="00A05C4D">
        <w:rPr>
          <w:snapToGrid w:val="0"/>
          <w:lang w:val="en-GB"/>
        </w:rPr>
        <w:t> </w:t>
      </w:r>
      <w:r w:rsidRPr="00E116B6" w:rsidR="00111B57">
        <w:rPr>
          <w:snapToGrid w:val="0"/>
          <w:lang w:val="en-GB"/>
        </w:rPr>
        <w:t>2012, and</w:t>
      </w:r>
      <w:r w:rsidRPr="00E116B6" w:rsidR="00D40E6A">
        <w:rPr>
          <w:lang w:val="en-GB"/>
        </w:rPr>
        <w:t xml:space="preserve"> </w:t>
      </w:r>
      <w:r w:rsidRPr="00E116B6" w:rsidR="00D40E6A">
        <w:rPr>
          <w:i/>
          <w:lang w:val="en-GB"/>
        </w:rPr>
        <w:t>Włoch v. Poland</w:t>
      </w:r>
      <w:r w:rsidRPr="00E116B6" w:rsidR="00D40E6A">
        <w:rPr>
          <w:lang w:val="en-GB"/>
        </w:rPr>
        <w:t>, no. 27785/95, § 125, ECHR 2000-XI).</w:t>
      </w:r>
    </w:p>
    <w:p w:rsidRPr="00E116B6" w:rsidR="00AC1180" w:rsidP="00E116B6" w:rsidRDefault="004C4CF3">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132</w:t>
      </w:r>
      <w:r w:rsidRPr="00E116B6">
        <w:rPr>
          <w:lang w:val="en-GB"/>
        </w:rPr>
        <w:fldChar w:fldCharType="end"/>
      </w:r>
      <w:r w:rsidRPr="00E116B6" w:rsidR="00AE1003">
        <w:rPr>
          <w:lang w:val="en-GB"/>
        </w:rPr>
        <w:t xml:space="preserve">.  The Court observes that under Georgian criminal procedural law proceedings </w:t>
      </w:r>
      <w:r w:rsidRPr="00E116B6" w:rsidR="008822BF">
        <w:rPr>
          <w:lang w:val="en-GB"/>
        </w:rPr>
        <w:t xml:space="preserve">bearing </w:t>
      </w:r>
      <w:r w:rsidRPr="00E116B6" w:rsidR="006555F4">
        <w:rPr>
          <w:lang w:val="en-GB"/>
        </w:rPr>
        <w:t xml:space="preserve">on </w:t>
      </w:r>
      <w:r w:rsidRPr="00E116B6" w:rsidR="008822BF">
        <w:rPr>
          <w:lang w:val="en-GB"/>
        </w:rPr>
        <w:t>pre-trial detenti</w:t>
      </w:r>
      <w:r w:rsidRPr="00E116B6" w:rsidR="006555F4">
        <w:rPr>
          <w:lang w:val="en-GB"/>
        </w:rPr>
        <w:t xml:space="preserve">on </w:t>
      </w:r>
      <w:r w:rsidRPr="00E116B6" w:rsidR="008822BF">
        <w:rPr>
          <w:lang w:val="en-GB"/>
        </w:rPr>
        <w:t xml:space="preserve">issues </w:t>
      </w:r>
      <w:r w:rsidRPr="00E116B6" w:rsidR="00AE1003">
        <w:rPr>
          <w:lang w:val="en-GB"/>
        </w:rPr>
        <w:t>were</w:t>
      </w:r>
      <w:r w:rsidRPr="00E116B6" w:rsidR="008822BF">
        <w:rPr>
          <w:lang w:val="en-GB"/>
        </w:rPr>
        <w:t xml:space="preserve"> </w:t>
      </w:r>
      <w:r w:rsidRPr="00E116B6" w:rsidR="00AE1003">
        <w:rPr>
          <w:lang w:val="en-GB"/>
        </w:rPr>
        <w:t>urgent and had to be dealt with speedily (see</w:t>
      </w:r>
      <w:r w:rsidRPr="00E116B6" w:rsidR="008C6B56">
        <w:rPr>
          <w:lang w:val="en-GB"/>
        </w:rPr>
        <w:t xml:space="preserve"> </w:t>
      </w:r>
      <w:r w:rsidRPr="00E116B6" w:rsidR="00647FA7">
        <w:rPr>
          <w:i/>
          <w:lang w:val="en-GB"/>
        </w:rPr>
        <w:t>Patsuria v. Georgia</w:t>
      </w:r>
      <w:r w:rsidRPr="00E116B6" w:rsidR="00647FA7">
        <w:rPr>
          <w:lang w:val="en-GB"/>
        </w:rPr>
        <w:t>, no. 30779/04, §</w:t>
      </w:r>
      <w:r w:rsidRPr="00E116B6" w:rsidR="0000400E">
        <w:rPr>
          <w:lang w:val="en-GB"/>
        </w:rPr>
        <w:t> </w:t>
      </w:r>
      <w:r w:rsidRPr="00E116B6" w:rsidR="00647FA7">
        <w:rPr>
          <w:lang w:val="en-GB"/>
        </w:rPr>
        <w:t>51, 6</w:t>
      </w:r>
      <w:r w:rsidRPr="00E116B6" w:rsidR="00A05C4D">
        <w:rPr>
          <w:lang w:val="en-GB"/>
        </w:rPr>
        <w:t> </w:t>
      </w:r>
      <w:r w:rsidRPr="00E116B6" w:rsidR="00647FA7">
        <w:rPr>
          <w:lang w:val="en-GB"/>
        </w:rPr>
        <w:t>November 2007</w:t>
      </w:r>
      <w:r w:rsidRPr="00E116B6" w:rsidR="00AE1003">
        <w:rPr>
          <w:lang w:val="en-GB"/>
        </w:rPr>
        <w:t xml:space="preserve">). Notably, in order to ensure that decisions </w:t>
      </w:r>
      <w:r w:rsidRPr="00E116B6" w:rsidR="006555F4">
        <w:rPr>
          <w:lang w:val="en-GB"/>
        </w:rPr>
        <w:t xml:space="preserve">on </w:t>
      </w:r>
      <w:r w:rsidRPr="00E116B6" w:rsidR="00804FCB">
        <w:rPr>
          <w:lang w:val="en-GB"/>
        </w:rPr>
        <w:t>applications</w:t>
      </w:r>
      <w:r w:rsidRPr="00E116B6" w:rsidR="00AE1003">
        <w:rPr>
          <w:lang w:val="en-GB"/>
        </w:rPr>
        <w:t xml:space="preserve"> for </w:t>
      </w:r>
      <w:r w:rsidRPr="00E116B6" w:rsidR="00344E44">
        <w:rPr>
          <w:lang w:val="en-GB"/>
        </w:rPr>
        <w:t xml:space="preserve">an </w:t>
      </w:r>
      <w:r w:rsidRPr="00E116B6" w:rsidR="00AE1003">
        <w:rPr>
          <w:lang w:val="en-GB"/>
        </w:rPr>
        <w:t>extensi</w:t>
      </w:r>
      <w:r w:rsidRPr="00E116B6" w:rsidR="006555F4">
        <w:rPr>
          <w:lang w:val="en-GB"/>
        </w:rPr>
        <w:t xml:space="preserve">on </w:t>
      </w:r>
      <w:r w:rsidRPr="00E116B6" w:rsidR="00AE1003">
        <w:rPr>
          <w:lang w:val="en-GB"/>
        </w:rPr>
        <w:t>of initial periods of detenti</w:t>
      </w:r>
      <w:r w:rsidRPr="00E116B6" w:rsidR="006555F4">
        <w:rPr>
          <w:lang w:val="en-GB"/>
        </w:rPr>
        <w:t xml:space="preserve">on </w:t>
      </w:r>
      <w:r w:rsidRPr="00E116B6" w:rsidR="00AE1003">
        <w:rPr>
          <w:lang w:val="en-GB"/>
        </w:rPr>
        <w:t>were taken expeditiously under Article 163</w:t>
      </w:r>
      <w:r w:rsidRPr="00E116B6" w:rsidR="00144F0E">
        <w:rPr>
          <w:lang w:val="en-GB"/>
        </w:rPr>
        <w:t xml:space="preserve"> </w:t>
      </w:r>
      <w:r w:rsidRPr="00E116B6" w:rsidR="00144F0E">
        <w:rPr>
          <w:rFonts w:cstheme="minorHAnsi"/>
          <w:lang w:val="en-GB"/>
        </w:rPr>
        <w:t>§</w:t>
      </w:r>
      <w:r w:rsidRPr="00E116B6" w:rsidR="00144F0E">
        <w:rPr>
          <w:lang w:val="en-GB"/>
        </w:rPr>
        <w:t xml:space="preserve"> 2</w:t>
      </w:r>
      <w:r w:rsidRPr="00E116B6" w:rsidR="00AE1003">
        <w:rPr>
          <w:lang w:val="en-GB"/>
        </w:rPr>
        <w:t xml:space="preserve"> of the CCP, the domestic courts had </w:t>
      </w:r>
      <w:r w:rsidRPr="00E116B6" w:rsidR="00344E44">
        <w:rPr>
          <w:lang w:val="en-GB"/>
        </w:rPr>
        <w:t>a</w:t>
      </w:r>
      <w:r w:rsidRPr="00E116B6" w:rsidR="008822BF">
        <w:rPr>
          <w:lang w:val="en-GB"/>
        </w:rPr>
        <w:t xml:space="preserve"> statutory period of </w:t>
      </w:r>
      <w:r w:rsidRPr="00E116B6" w:rsidR="00804FCB">
        <w:rPr>
          <w:lang w:val="en-GB"/>
        </w:rPr>
        <w:t xml:space="preserve">only </w:t>
      </w:r>
      <w:r w:rsidRPr="00E116B6" w:rsidR="00AE1003">
        <w:rPr>
          <w:lang w:val="en-GB"/>
        </w:rPr>
        <w:t xml:space="preserve">five days for </w:t>
      </w:r>
      <w:r w:rsidRPr="00E116B6" w:rsidR="00D03B3D">
        <w:rPr>
          <w:lang w:val="en-GB"/>
        </w:rPr>
        <w:t xml:space="preserve">the </w:t>
      </w:r>
      <w:r w:rsidRPr="00E116B6" w:rsidR="00AE1003">
        <w:rPr>
          <w:lang w:val="en-GB"/>
        </w:rPr>
        <w:t>examinati</w:t>
      </w:r>
      <w:r w:rsidRPr="00E116B6" w:rsidR="006555F4">
        <w:rPr>
          <w:lang w:val="en-GB"/>
        </w:rPr>
        <w:t xml:space="preserve">on </w:t>
      </w:r>
      <w:r w:rsidRPr="00E116B6" w:rsidR="00AE1003">
        <w:rPr>
          <w:lang w:val="en-GB"/>
        </w:rPr>
        <w:t xml:space="preserve">of such </w:t>
      </w:r>
      <w:r w:rsidRPr="00E116B6" w:rsidR="00804FCB">
        <w:rPr>
          <w:lang w:val="en-GB"/>
        </w:rPr>
        <w:t>applications</w:t>
      </w:r>
      <w:r w:rsidRPr="00E116B6" w:rsidR="00523F00">
        <w:rPr>
          <w:lang w:val="en-GB"/>
        </w:rPr>
        <w:t xml:space="preserve"> (see paragraph</w:t>
      </w:r>
      <w:r w:rsidRPr="00E116B6" w:rsidR="003720F1">
        <w:rPr>
          <w:lang w:val="en-GB"/>
        </w:rPr>
        <w:t xml:space="preserve"> </w:t>
      </w:r>
      <w:r w:rsidRPr="00E116B6" w:rsidR="003720F1">
        <w:rPr>
          <w:lang w:val="en-GB"/>
        </w:rPr>
        <w:fldChar w:fldCharType="begin"/>
      </w:r>
      <w:r w:rsidRPr="00E116B6" w:rsidR="003720F1">
        <w:rPr>
          <w:lang w:val="en-GB"/>
        </w:rPr>
        <w:instrText xml:space="preserve"> REF victimstatus \h </w:instrText>
      </w:r>
      <w:r w:rsidRPr="00E116B6" w:rsidR="003720F1">
        <w:rPr>
          <w:lang w:val="en-GB"/>
        </w:rPr>
      </w:r>
      <w:r w:rsidRPr="00E116B6" w:rsidR="003720F1">
        <w:rPr>
          <w:lang w:val="en-GB"/>
        </w:rPr>
        <w:fldChar w:fldCharType="separate"/>
      </w:r>
      <w:r w:rsidRPr="00E116B6" w:rsidR="00E116B6">
        <w:rPr>
          <w:noProof/>
          <w:lang w:val="en-GB"/>
        </w:rPr>
        <w:t>86</w:t>
      </w:r>
      <w:r w:rsidRPr="00E116B6" w:rsidR="003720F1">
        <w:rPr>
          <w:lang w:val="en-GB"/>
        </w:rPr>
        <w:fldChar w:fldCharType="end"/>
      </w:r>
      <w:r w:rsidRPr="00E116B6" w:rsidR="003720F1">
        <w:rPr>
          <w:lang w:val="en-GB"/>
        </w:rPr>
        <w:t xml:space="preserve"> above)</w:t>
      </w:r>
      <w:r w:rsidRPr="00E116B6" w:rsidR="00AE1003">
        <w:rPr>
          <w:lang w:val="en-GB"/>
        </w:rPr>
        <w:t>. In view of th</w:t>
      </w:r>
      <w:r w:rsidRPr="00E116B6" w:rsidR="00011B73">
        <w:rPr>
          <w:lang w:val="en-GB"/>
        </w:rPr>
        <w:t>at</w:t>
      </w:r>
      <w:r w:rsidRPr="00E116B6" w:rsidR="00AE1003">
        <w:rPr>
          <w:lang w:val="en-GB"/>
        </w:rPr>
        <w:t xml:space="preserve"> requirement of speed, which is moreover one of the core principles of Article 5 § 4 of the Convention, the Court considers that the </w:t>
      </w:r>
      <w:r w:rsidRPr="00E116B6" w:rsidR="008822BF">
        <w:rPr>
          <w:lang w:val="en-GB"/>
        </w:rPr>
        <w:t>Tbilisi Regional Court</w:t>
      </w:r>
      <w:r w:rsidRPr="00E116B6" w:rsidR="00AE1003">
        <w:rPr>
          <w:lang w:val="en-GB"/>
        </w:rPr>
        <w:t xml:space="preserve">, </w:t>
      </w:r>
      <w:r w:rsidRPr="00E116B6" w:rsidR="00011B73">
        <w:rPr>
          <w:lang w:val="en-GB"/>
        </w:rPr>
        <w:t xml:space="preserve">when </w:t>
      </w:r>
      <w:r w:rsidRPr="00E116B6" w:rsidR="00AE1003">
        <w:rPr>
          <w:lang w:val="en-GB"/>
        </w:rPr>
        <w:t>examining the issue of the applicants</w:t>
      </w:r>
      <w:r w:rsidRPr="00E116B6" w:rsidR="00E116B6">
        <w:rPr>
          <w:lang w:val="en-GB"/>
        </w:rPr>
        <w:t>’</w:t>
      </w:r>
      <w:r w:rsidRPr="00E116B6" w:rsidR="00AE1003">
        <w:rPr>
          <w:lang w:val="en-GB"/>
        </w:rPr>
        <w:t xml:space="preserve"> detenti</w:t>
      </w:r>
      <w:r w:rsidRPr="00E116B6" w:rsidR="006555F4">
        <w:rPr>
          <w:lang w:val="en-GB"/>
        </w:rPr>
        <w:t xml:space="preserve">on on </w:t>
      </w:r>
      <w:r w:rsidRPr="00E116B6" w:rsidR="00AE1003">
        <w:rPr>
          <w:lang w:val="en-GB"/>
        </w:rPr>
        <w:t xml:space="preserve">remand </w:t>
      </w:r>
      <w:r w:rsidRPr="00E116B6" w:rsidR="006555F4">
        <w:rPr>
          <w:lang w:val="en-GB"/>
        </w:rPr>
        <w:t xml:space="preserve">on </w:t>
      </w:r>
      <w:r w:rsidRPr="00E116B6" w:rsidR="00AE1003">
        <w:rPr>
          <w:lang w:val="en-GB"/>
        </w:rPr>
        <w:t xml:space="preserve">10 November 2004, was not obliged to have ensured the </w:t>
      </w:r>
      <w:r w:rsidRPr="00E116B6" w:rsidR="00D03B3D">
        <w:rPr>
          <w:lang w:val="en-GB"/>
        </w:rPr>
        <w:t xml:space="preserve">previous </w:t>
      </w:r>
      <w:r w:rsidRPr="00E116B6" w:rsidR="00AE1003">
        <w:rPr>
          <w:lang w:val="en-GB"/>
        </w:rPr>
        <w:t>exchange of all the parties</w:t>
      </w:r>
      <w:r w:rsidRPr="00E116B6" w:rsidR="00E116B6">
        <w:rPr>
          <w:lang w:val="en-GB"/>
        </w:rPr>
        <w:t>’</w:t>
      </w:r>
      <w:r w:rsidRPr="00E116B6" w:rsidR="00AE1003">
        <w:rPr>
          <w:lang w:val="en-GB"/>
        </w:rPr>
        <w:t xml:space="preserve"> documents by post as th</w:t>
      </w:r>
      <w:r w:rsidRPr="00E116B6" w:rsidR="00011B73">
        <w:rPr>
          <w:lang w:val="en-GB"/>
        </w:rPr>
        <w:t>at</w:t>
      </w:r>
      <w:r w:rsidRPr="00E116B6" w:rsidR="00AE1003">
        <w:rPr>
          <w:lang w:val="en-GB"/>
        </w:rPr>
        <w:t xml:space="preserve"> could have complicated its task of taking a decisi</w:t>
      </w:r>
      <w:r w:rsidRPr="00E116B6" w:rsidR="006555F4">
        <w:rPr>
          <w:lang w:val="en-GB"/>
        </w:rPr>
        <w:t xml:space="preserve">on </w:t>
      </w:r>
      <w:r w:rsidRPr="00E116B6" w:rsidR="00AE1003">
        <w:rPr>
          <w:lang w:val="en-GB"/>
        </w:rPr>
        <w:t xml:space="preserve">within the statutory time-limit of </w:t>
      </w:r>
      <w:r w:rsidRPr="00E116B6" w:rsidR="00335E1C">
        <w:rPr>
          <w:lang w:val="en-GB"/>
        </w:rPr>
        <w:t>five days</w:t>
      </w:r>
      <w:r w:rsidRPr="00E116B6" w:rsidR="00AE1003">
        <w:rPr>
          <w:lang w:val="en-GB"/>
        </w:rPr>
        <w:t xml:space="preserve"> (compare</w:t>
      </w:r>
      <w:r w:rsidRPr="00E116B6" w:rsidR="008C6B56">
        <w:rPr>
          <w:lang w:val="en-GB"/>
        </w:rPr>
        <w:t xml:space="preserve">, </w:t>
      </w:r>
      <w:r w:rsidRPr="00E116B6" w:rsidR="008C6B56">
        <w:rPr>
          <w:i/>
          <w:lang w:val="en-GB"/>
        </w:rPr>
        <w:t>mutatis mutandis</w:t>
      </w:r>
      <w:r w:rsidRPr="00E116B6" w:rsidR="008C6B56">
        <w:rPr>
          <w:lang w:val="en-GB"/>
        </w:rPr>
        <w:t>, with</w:t>
      </w:r>
      <w:r w:rsidRPr="00E116B6" w:rsidR="00AE1003">
        <w:rPr>
          <w:lang w:val="en-GB"/>
        </w:rPr>
        <w:t xml:space="preserve"> </w:t>
      </w:r>
      <w:r w:rsidRPr="00E116B6" w:rsidR="006721A6">
        <w:rPr>
          <w:lang w:val="en-GB"/>
        </w:rPr>
        <w:t>a similar</w:t>
      </w:r>
      <w:r w:rsidRPr="00E116B6" w:rsidR="008822BF">
        <w:rPr>
          <w:lang w:val="en-GB"/>
        </w:rPr>
        <w:t xml:space="preserve"> situati</w:t>
      </w:r>
      <w:r w:rsidRPr="00E116B6" w:rsidR="006555F4">
        <w:rPr>
          <w:lang w:val="en-GB"/>
        </w:rPr>
        <w:t xml:space="preserve">on </w:t>
      </w:r>
      <w:r w:rsidRPr="00E116B6" w:rsidR="008822BF">
        <w:rPr>
          <w:lang w:val="en-GB"/>
        </w:rPr>
        <w:t>in</w:t>
      </w:r>
      <w:r w:rsidRPr="00E116B6" w:rsidR="00AE1003">
        <w:rPr>
          <w:lang w:val="en-GB"/>
        </w:rPr>
        <w:t xml:space="preserve"> </w:t>
      </w:r>
      <w:r w:rsidRPr="00E116B6" w:rsidR="00AE1003">
        <w:rPr>
          <w:i/>
          <w:lang w:val="en-GB"/>
        </w:rPr>
        <w:t>Patsuria</w:t>
      </w:r>
      <w:r w:rsidRPr="00E116B6" w:rsidR="00AE1003">
        <w:rPr>
          <w:lang w:val="en-GB"/>
        </w:rPr>
        <w:t>,</w:t>
      </w:r>
      <w:r w:rsidRPr="00E116B6" w:rsidR="008822BF">
        <w:rPr>
          <w:lang w:val="en-GB"/>
        </w:rPr>
        <w:t xml:space="preserve"> cited above,</w:t>
      </w:r>
      <w:r w:rsidRPr="00E116B6" w:rsidR="00AE1003">
        <w:rPr>
          <w:lang w:val="en-GB"/>
        </w:rPr>
        <w:t xml:space="preserve"> </w:t>
      </w:r>
      <w:r w:rsidRPr="00E116B6" w:rsidR="00AE1003">
        <w:rPr>
          <w:rFonts w:cstheme="minorHAnsi"/>
          <w:lang w:val="en-GB"/>
        </w:rPr>
        <w:t>§</w:t>
      </w:r>
      <w:r w:rsidRPr="00E116B6" w:rsidR="00AE1003">
        <w:rPr>
          <w:lang w:val="en-GB"/>
        </w:rPr>
        <w:t xml:space="preserve"> 52</w:t>
      </w:r>
      <w:r w:rsidRPr="00E116B6" w:rsidR="00D03B3D">
        <w:rPr>
          <w:lang w:val="en-GB"/>
        </w:rPr>
        <w:t xml:space="preserve">, </w:t>
      </w:r>
      <w:r w:rsidRPr="00E116B6" w:rsidR="00AE1003">
        <w:rPr>
          <w:lang w:val="en-GB"/>
        </w:rPr>
        <w:t xml:space="preserve">and also </w:t>
      </w:r>
      <w:r w:rsidRPr="00E116B6" w:rsidR="00AE1003">
        <w:rPr>
          <w:i/>
          <w:lang w:val="en-GB"/>
        </w:rPr>
        <w:t>Yavuz v. Austria</w:t>
      </w:r>
      <w:r w:rsidRPr="00E116B6" w:rsidR="00AE1003">
        <w:rPr>
          <w:lang w:val="en-GB"/>
        </w:rPr>
        <w:t xml:space="preserve"> (dec.), no.</w:t>
      </w:r>
      <w:r w:rsidRPr="00E116B6" w:rsidR="0000400E">
        <w:rPr>
          <w:lang w:val="en-GB"/>
        </w:rPr>
        <w:t> </w:t>
      </w:r>
      <w:r w:rsidRPr="00E116B6" w:rsidR="00AE1003">
        <w:rPr>
          <w:lang w:val="en-GB"/>
        </w:rPr>
        <w:t>32800/96, 18 January 2000). Th</w:t>
      </w:r>
      <w:r w:rsidRPr="00E116B6" w:rsidR="00D03B3D">
        <w:rPr>
          <w:lang w:val="en-GB"/>
        </w:rPr>
        <w:t>at situati</w:t>
      </w:r>
      <w:r w:rsidRPr="00E116B6" w:rsidR="006555F4">
        <w:rPr>
          <w:lang w:val="en-GB"/>
        </w:rPr>
        <w:t xml:space="preserve">on </w:t>
      </w:r>
      <w:r w:rsidRPr="00E116B6" w:rsidR="00AE1003">
        <w:rPr>
          <w:lang w:val="en-GB"/>
        </w:rPr>
        <w:t>was, in any case, palliated by the fact that the judicial review of the prosecutor</w:t>
      </w:r>
      <w:r w:rsidRPr="00E116B6" w:rsidR="00E116B6">
        <w:rPr>
          <w:lang w:val="en-GB"/>
        </w:rPr>
        <w:t>’</w:t>
      </w:r>
      <w:r w:rsidRPr="00E116B6" w:rsidR="00AE1003">
        <w:rPr>
          <w:lang w:val="en-GB"/>
        </w:rPr>
        <w:t xml:space="preserve">s </w:t>
      </w:r>
      <w:r w:rsidRPr="00E116B6" w:rsidR="00D03B3D">
        <w:rPr>
          <w:lang w:val="en-GB"/>
        </w:rPr>
        <w:t>applicati</w:t>
      </w:r>
      <w:r w:rsidRPr="00E116B6" w:rsidR="006555F4">
        <w:rPr>
          <w:lang w:val="en-GB"/>
        </w:rPr>
        <w:t xml:space="preserve">on </w:t>
      </w:r>
      <w:r w:rsidRPr="00E116B6" w:rsidR="00011B73">
        <w:rPr>
          <w:lang w:val="en-GB"/>
        </w:rPr>
        <w:t xml:space="preserve">to </w:t>
      </w:r>
      <w:r w:rsidRPr="00E116B6" w:rsidR="00AE1003">
        <w:rPr>
          <w:lang w:val="en-GB"/>
        </w:rPr>
        <w:t>exten</w:t>
      </w:r>
      <w:r w:rsidRPr="00E116B6" w:rsidR="00011B73">
        <w:rPr>
          <w:lang w:val="en-GB"/>
        </w:rPr>
        <w:t>d</w:t>
      </w:r>
      <w:r w:rsidRPr="00E116B6" w:rsidR="00AE1003">
        <w:rPr>
          <w:lang w:val="en-GB"/>
        </w:rPr>
        <w:t xml:space="preserve"> the applicant</w:t>
      </w:r>
      <w:r w:rsidRPr="00E116B6" w:rsidR="00E116B6">
        <w:rPr>
          <w:lang w:val="en-GB"/>
        </w:rPr>
        <w:t>’</w:t>
      </w:r>
      <w:r w:rsidRPr="00E116B6" w:rsidR="00AE1003">
        <w:rPr>
          <w:lang w:val="en-GB"/>
        </w:rPr>
        <w:t>s detenti</w:t>
      </w:r>
      <w:r w:rsidRPr="00E116B6" w:rsidR="006555F4">
        <w:rPr>
          <w:lang w:val="en-GB"/>
        </w:rPr>
        <w:t xml:space="preserve">on </w:t>
      </w:r>
      <w:r w:rsidRPr="00E116B6" w:rsidR="00AE1003">
        <w:rPr>
          <w:lang w:val="en-GB"/>
        </w:rPr>
        <w:t xml:space="preserve">took place </w:t>
      </w:r>
      <w:r w:rsidRPr="00E116B6" w:rsidR="006555F4">
        <w:rPr>
          <w:lang w:val="en-GB"/>
        </w:rPr>
        <w:t xml:space="preserve">on </w:t>
      </w:r>
      <w:r w:rsidRPr="00E116B6" w:rsidR="00AE1003">
        <w:rPr>
          <w:lang w:val="en-GB"/>
        </w:rPr>
        <w:t xml:space="preserve">10 November 2004 at an oral hearing attended by the applicants and their </w:t>
      </w:r>
      <w:r w:rsidRPr="00E116B6" w:rsidR="00D03B3D">
        <w:rPr>
          <w:lang w:val="en-GB"/>
        </w:rPr>
        <w:t>lawyers</w:t>
      </w:r>
      <w:r w:rsidRPr="00E116B6" w:rsidR="00AE1003">
        <w:rPr>
          <w:lang w:val="en-GB"/>
        </w:rPr>
        <w:t xml:space="preserve">, who thus had ample opportunity to obtain knowledge of and comment </w:t>
      </w:r>
      <w:r w:rsidRPr="00E116B6" w:rsidR="006555F4">
        <w:rPr>
          <w:lang w:val="en-GB"/>
        </w:rPr>
        <w:t xml:space="preserve">on </w:t>
      </w:r>
      <w:r w:rsidRPr="00E116B6" w:rsidR="00AE1003">
        <w:rPr>
          <w:lang w:val="en-GB"/>
        </w:rPr>
        <w:t>the prosecutor</w:t>
      </w:r>
      <w:r w:rsidRPr="00E116B6" w:rsidR="00E116B6">
        <w:rPr>
          <w:lang w:val="en-GB"/>
        </w:rPr>
        <w:t>’</w:t>
      </w:r>
      <w:r w:rsidRPr="00E116B6" w:rsidR="00AE1003">
        <w:rPr>
          <w:lang w:val="en-GB"/>
        </w:rPr>
        <w:t>s submissions</w:t>
      </w:r>
      <w:r w:rsidRPr="00E116B6" w:rsidR="008822BF">
        <w:rPr>
          <w:lang w:val="en-GB"/>
        </w:rPr>
        <w:t xml:space="preserve"> during the hearing itself</w:t>
      </w:r>
      <w:r w:rsidRPr="00E116B6" w:rsidR="00AE1003">
        <w:rPr>
          <w:lang w:val="en-GB"/>
        </w:rPr>
        <w:t xml:space="preserve"> (see again </w:t>
      </w:r>
      <w:r w:rsidRPr="00E116B6" w:rsidR="00AE1003">
        <w:rPr>
          <w:i/>
          <w:lang w:val="en-GB"/>
        </w:rPr>
        <w:t>Patsuria</w:t>
      </w:r>
      <w:r w:rsidRPr="00E116B6" w:rsidR="00AE1003">
        <w:rPr>
          <w:lang w:val="en-GB"/>
        </w:rPr>
        <w:t>,</w:t>
      </w:r>
      <w:r w:rsidRPr="00E116B6" w:rsidR="008822BF">
        <w:rPr>
          <w:lang w:val="en-GB"/>
        </w:rPr>
        <w:t xml:space="preserve"> cited above,</w:t>
      </w:r>
      <w:r w:rsidRPr="00E116B6" w:rsidR="00AE1003">
        <w:rPr>
          <w:lang w:val="en-GB"/>
        </w:rPr>
        <w:t xml:space="preserve"> </w:t>
      </w:r>
      <w:r w:rsidRPr="00E116B6" w:rsidR="00AE1003">
        <w:rPr>
          <w:rFonts w:cstheme="minorHAnsi"/>
          <w:lang w:val="en-GB"/>
        </w:rPr>
        <w:t>§</w:t>
      </w:r>
      <w:r w:rsidRPr="00E116B6" w:rsidR="00AE1003">
        <w:rPr>
          <w:lang w:val="en-GB"/>
        </w:rPr>
        <w:t xml:space="preserve"> 52).</w:t>
      </w:r>
    </w:p>
    <w:p w:rsidRPr="00E116B6" w:rsidR="00AE1003" w:rsidP="00E116B6" w:rsidRDefault="004C4CF3">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133</w:t>
      </w:r>
      <w:r w:rsidRPr="00E116B6">
        <w:rPr>
          <w:lang w:val="en-GB"/>
        </w:rPr>
        <w:fldChar w:fldCharType="end"/>
      </w:r>
      <w:r w:rsidRPr="00E116B6" w:rsidR="0032657E">
        <w:rPr>
          <w:lang w:val="en-GB"/>
        </w:rPr>
        <w:t>.  </w:t>
      </w:r>
      <w:r w:rsidRPr="00E116B6" w:rsidR="00AE1003">
        <w:rPr>
          <w:lang w:val="en-GB"/>
        </w:rPr>
        <w:t>In th</w:t>
      </w:r>
      <w:r w:rsidRPr="00E116B6" w:rsidR="00011B73">
        <w:rPr>
          <w:lang w:val="en-GB"/>
        </w:rPr>
        <w:t>o</w:t>
      </w:r>
      <w:r w:rsidRPr="00E116B6" w:rsidR="00AE1003">
        <w:rPr>
          <w:lang w:val="en-GB"/>
        </w:rPr>
        <w:t>se circumstances, the Court</w:t>
      </w:r>
      <w:r w:rsidRPr="00E116B6" w:rsidR="00BC5822">
        <w:rPr>
          <w:lang w:val="en-GB"/>
        </w:rPr>
        <w:t xml:space="preserve"> considers that the complaint under Article 5 </w:t>
      </w:r>
      <w:r w:rsidRPr="00E116B6" w:rsidR="00BC5822">
        <w:rPr>
          <w:rFonts w:cstheme="minorHAnsi"/>
          <w:lang w:val="en-GB"/>
        </w:rPr>
        <w:t>§</w:t>
      </w:r>
      <w:r w:rsidRPr="00E116B6" w:rsidR="00BC5822">
        <w:rPr>
          <w:lang w:val="en-GB"/>
        </w:rPr>
        <w:t xml:space="preserve"> 4 of the Conventi</w:t>
      </w:r>
      <w:r w:rsidRPr="00E116B6" w:rsidR="006555F4">
        <w:rPr>
          <w:lang w:val="en-GB"/>
        </w:rPr>
        <w:t xml:space="preserve">on </w:t>
      </w:r>
      <w:r w:rsidRPr="00E116B6" w:rsidR="00BC5822">
        <w:rPr>
          <w:lang w:val="en-GB"/>
        </w:rPr>
        <w:t>concerning the fairness of the judicial review of 10 November 2004 is manifestly ill-founded and must be rejected in accordance with Article 35 §§ 3 (a) and 4 of the Convention</w:t>
      </w:r>
      <w:r w:rsidRPr="00E116B6" w:rsidR="00AE1003">
        <w:rPr>
          <w:lang w:val="en-GB"/>
        </w:rPr>
        <w:t>.</w:t>
      </w:r>
    </w:p>
    <w:p w:rsidRPr="00E116B6" w:rsidR="005859F8" w:rsidP="00E116B6" w:rsidRDefault="005859F8">
      <w:pPr>
        <w:pStyle w:val="ECHRHeading1"/>
        <w:rPr>
          <w:lang w:val="en-GB"/>
        </w:rPr>
      </w:pPr>
      <w:r w:rsidRPr="00E116B6">
        <w:rPr>
          <w:lang w:val="en-GB"/>
        </w:rPr>
        <w:t xml:space="preserve">V.  ALLEGED VIOLATION OF ARTICLE 6 </w:t>
      </w:r>
      <w:r w:rsidRPr="00E116B6">
        <w:rPr>
          <w:rFonts w:cstheme="majorHAnsi"/>
          <w:lang w:val="en-GB"/>
        </w:rPr>
        <w:t>§</w:t>
      </w:r>
      <w:r w:rsidRPr="00E116B6">
        <w:rPr>
          <w:lang w:val="en-GB"/>
        </w:rPr>
        <w:t xml:space="preserve"> 1</w:t>
      </w:r>
      <w:r w:rsidRPr="00E116B6" w:rsidR="008D0FA4">
        <w:rPr>
          <w:lang w:val="en-GB"/>
        </w:rPr>
        <w:t xml:space="preserve"> </w:t>
      </w:r>
      <w:r w:rsidRPr="00E116B6">
        <w:rPr>
          <w:lang w:val="en-GB"/>
        </w:rPr>
        <w:t>OF THE CONVENTION</w:t>
      </w:r>
    </w:p>
    <w:p w:rsidRPr="00E116B6" w:rsidR="002E0869" w:rsidP="00E116B6" w:rsidRDefault="002E0869">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134</w:t>
      </w:r>
      <w:r w:rsidRPr="00E116B6">
        <w:rPr>
          <w:lang w:val="en-GB"/>
        </w:rPr>
        <w:fldChar w:fldCharType="end"/>
      </w:r>
      <w:r w:rsidRPr="00E116B6">
        <w:rPr>
          <w:lang w:val="en-GB"/>
        </w:rPr>
        <w:t xml:space="preserve">.  Both applicants complained that the criminal proceedings against them had been unfair </w:t>
      </w:r>
      <w:r w:rsidRPr="00E116B6" w:rsidR="006555F4">
        <w:rPr>
          <w:lang w:val="en-GB"/>
        </w:rPr>
        <w:t xml:space="preserve">on </w:t>
      </w:r>
      <w:r w:rsidRPr="00E116B6">
        <w:rPr>
          <w:lang w:val="en-GB"/>
        </w:rPr>
        <w:t>account of the extracti</w:t>
      </w:r>
      <w:r w:rsidRPr="00E116B6" w:rsidR="006555F4">
        <w:rPr>
          <w:lang w:val="en-GB"/>
        </w:rPr>
        <w:t xml:space="preserve">on </w:t>
      </w:r>
      <w:r w:rsidRPr="00E116B6" w:rsidR="00011B73">
        <w:rPr>
          <w:lang w:val="en-GB"/>
        </w:rPr>
        <w:t xml:space="preserve">of </w:t>
      </w:r>
      <w:r w:rsidRPr="00E116B6" w:rsidR="00D03B3D">
        <w:rPr>
          <w:lang w:val="en-GB"/>
        </w:rPr>
        <w:t xml:space="preserve">a </w:t>
      </w:r>
      <w:r w:rsidRPr="00E116B6" w:rsidR="00011B73">
        <w:rPr>
          <w:lang w:val="en-GB"/>
        </w:rPr>
        <w:t>confessi</w:t>
      </w:r>
      <w:r w:rsidRPr="00E116B6" w:rsidR="006555F4">
        <w:rPr>
          <w:lang w:val="en-GB"/>
        </w:rPr>
        <w:t xml:space="preserve">on </w:t>
      </w:r>
      <w:r w:rsidRPr="00E116B6" w:rsidR="00011B73">
        <w:rPr>
          <w:lang w:val="en-GB"/>
        </w:rPr>
        <w:t xml:space="preserve">and related statements </w:t>
      </w:r>
      <w:r w:rsidRPr="00E116B6">
        <w:rPr>
          <w:lang w:val="en-GB"/>
        </w:rPr>
        <w:t>from the first applicant by torture and the</w:t>
      </w:r>
      <w:r w:rsidRPr="00E116B6" w:rsidR="00D55C23">
        <w:rPr>
          <w:lang w:val="en-GB"/>
        </w:rPr>
        <w:t>ir inability to benefit from the assistance of lawyer</w:t>
      </w:r>
      <w:r w:rsidRPr="00E116B6" w:rsidR="00DA0B45">
        <w:rPr>
          <w:lang w:val="en-GB"/>
        </w:rPr>
        <w:t>s</w:t>
      </w:r>
      <w:r w:rsidRPr="00E116B6" w:rsidR="00D55C23">
        <w:rPr>
          <w:lang w:val="en-GB"/>
        </w:rPr>
        <w:t xml:space="preserve"> of their </w:t>
      </w:r>
      <w:r w:rsidRPr="00E116B6" w:rsidR="00DA0B45">
        <w:rPr>
          <w:lang w:val="en-GB"/>
        </w:rPr>
        <w:t xml:space="preserve">own </w:t>
      </w:r>
      <w:r w:rsidRPr="00E116B6" w:rsidR="00D55C23">
        <w:rPr>
          <w:lang w:val="en-GB"/>
        </w:rPr>
        <w:t xml:space="preserve">choice at the early stages of the proceedings. They relied </w:t>
      </w:r>
      <w:r w:rsidRPr="00E116B6" w:rsidR="006555F4">
        <w:rPr>
          <w:lang w:val="en-GB"/>
        </w:rPr>
        <w:t xml:space="preserve">on </w:t>
      </w:r>
      <w:r w:rsidRPr="00E116B6" w:rsidR="00D55C23">
        <w:rPr>
          <w:lang w:val="en-GB"/>
        </w:rPr>
        <w:t>Article 6 § 1 of the Convention, which in so far as relevant provides:</w:t>
      </w:r>
    </w:p>
    <w:p w:rsidRPr="00E116B6" w:rsidR="00D55C23" w:rsidP="00E116B6" w:rsidRDefault="00D55C23">
      <w:pPr>
        <w:pStyle w:val="ECHRParaQuote"/>
        <w:rPr>
          <w:lang w:val="en-GB"/>
        </w:rPr>
      </w:pPr>
      <w:r w:rsidRPr="00E116B6">
        <w:rPr>
          <w:lang w:val="en-GB"/>
        </w:rPr>
        <w:t>“In the determinati</w:t>
      </w:r>
      <w:r w:rsidRPr="00E116B6" w:rsidR="006555F4">
        <w:rPr>
          <w:lang w:val="en-GB"/>
        </w:rPr>
        <w:t xml:space="preserve">on </w:t>
      </w:r>
      <w:r w:rsidRPr="00E116B6">
        <w:rPr>
          <w:lang w:val="en-GB"/>
        </w:rPr>
        <w:t>... of any criminal charge against him, everyone is entitled to a fair ... hearing ... by [a] ... tribunal ...</w:t>
      </w:r>
      <w:r w:rsidRPr="00E116B6" w:rsidR="00BD03AB">
        <w:rPr>
          <w:lang w:val="en-GB"/>
        </w:rPr>
        <w:t>”</w:t>
      </w:r>
    </w:p>
    <w:p w:rsidRPr="00E116B6" w:rsidR="00A115CC" w:rsidP="00E116B6" w:rsidRDefault="00A115CC">
      <w:pPr>
        <w:pStyle w:val="ECHRHeading2"/>
        <w:rPr>
          <w:lang w:val="en-GB"/>
        </w:rPr>
      </w:pPr>
      <w:r w:rsidRPr="00E116B6">
        <w:rPr>
          <w:lang w:val="en-GB"/>
        </w:rPr>
        <w:t>A.  Admissibility</w:t>
      </w:r>
    </w:p>
    <w:p w:rsidRPr="00E116B6" w:rsidR="00A115CC" w:rsidP="00E116B6" w:rsidRDefault="00A115CC">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135</w:t>
      </w:r>
      <w:r w:rsidRPr="00E116B6">
        <w:rPr>
          <w:lang w:val="en-GB"/>
        </w:rPr>
        <w:fldChar w:fldCharType="end"/>
      </w:r>
      <w:r w:rsidRPr="00E116B6">
        <w:rPr>
          <w:lang w:val="en-GB"/>
        </w:rPr>
        <w:t>.  The Court notes that these complaints are not manifestly ill</w:t>
      </w:r>
      <w:r w:rsidRPr="00E116B6">
        <w:rPr>
          <w:lang w:val="en-GB"/>
        </w:rPr>
        <w:noBreakHyphen/>
        <w:t xml:space="preserve">founded within the meaning of Article 35 § 3 (a) of the Convention. It further notes that they are not inadmissible </w:t>
      </w:r>
      <w:r w:rsidRPr="00E116B6" w:rsidR="006555F4">
        <w:rPr>
          <w:lang w:val="en-GB"/>
        </w:rPr>
        <w:t xml:space="preserve">on </w:t>
      </w:r>
      <w:r w:rsidRPr="00E116B6">
        <w:rPr>
          <w:lang w:val="en-GB"/>
        </w:rPr>
        <w:t>any other grounds. The complaints must therefore be declared admissible.</w:t>
      </w:r>
    </w:p>
    <w:p w:rsidRPr="00E116B6" w:rsidR="00A115CC" w:rsidP="00E116B6" w:rsidRDefault="00A115CC">
      <w:pPr>
        <w:pStyle w:val="ECHRHeading2"/>
        <w:rPr>
          <w:lang w:val="en-GB"/>
        </w:rPr>
      </w:pPr>
      <w:r w:rsidRPr="00E116B6">
        <w:rPr>
          <w:lang w:val="en-GB"/>
        </w:rPr>
        <w:t>B.  Merits</w:t>
      </w:r>
    </w:p>
    <w:p w:rsidRPr="00E116B6" w:rsidR="00A115CC" w:rsidP="00E116B6" w:rsidRDefault="00BD03AB">
      <w:pPr>
        <w:pStyle w:val="ECHRHeading3"/>
        <w:rPr>
          <w:lang w:val="en-GB"/>
        </w:rPr>
      </w:pPr>
      <w:r w:rsidRPr="00E116B6">
        <w:rPr>
          <w:lang w:val="en-GB"/>
        </w:rPr>
        <w:t>1.  </w:t>
      </w:r>
      <w:r w:rsidRPr="00E116B6" w:rsidR="00A115CC">
        <w:rPr>
          <w:lang w:val="en-GB"/>
        </w:rPr>
        <w:t>The parties</w:t>
      </w:r>
      <w:r w:rsidRPr="00E116B6" w:rsidR="00E116B6">
        <w:rPr>
          <w:lang w:val="en-GB"/>
        </w:rPr>
        <w:t>’</w:t>
      </w:r>
      <w:r w:rsidRPr="00E116B6" w:rsidR="00A115CC">
        <w:rPr>
          <w:lang w:val="en-GB"/>
        </w:rPr>
        <w:t xml:space="preserve"> arguments</w:t>
      </w:r>
    </w:p>
    <w:p w:rsidRPr="00E116B6" w:rsidR="00AC1180" w:rsidP="00E116B6" w:rsidRDefault="004C4CF3">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136</w:t>
      </w:r>
      <w:r w:rsidRPr="00E116B6">
        <w:rPr>
          <w:lang w:val="en-GB"/>
        </w:rPr>
        <w:fldChar w:fldCharType="end"/>
      </w:r>
      <w:r w:rsidRPr="00E116B6" w:rsidR="0040369A">
        <w:rPr>
          <w:lang w:val="en-GB"/>
        </w:rPr>
        <w:t xml:space="preserve">.  The Government maintained their argument that </w:t>
      </w:r>
      <w:r w:rsidRPr="00E116B6" w:rsidR="00011B73">
        <w:rPr>
          <w:lang w:val="en-GB"/>
        </w:rPr>
        <w:t xml:space="preserve">the first applicant had not suffered </w:t>
      </w:r>
      <w:r w:rsidRPr="00E116B6" w:rsidR="0040369A">
        <w:rPr>
          <w:lang w:val="en-GB"/>
        </w:rPr>
        <w:t xml:space="preserve">ill-treatment </w:t>
      </w:r>
      <w:r w:rsidRPr="00E116B6" w:rsidR="00B322BC">
        <w:rPr>
          <w:lang w:val="en-GB"/>
        </w:rPr>
        <w:t xml:space="preserve">during the questioning </w:t>
      </w:r>
      <w:r w:rsidRPr="00E116B6" w:rsidR="006555F4">
        <w:rPr>
          <w:lang w:val="en-GB"/>
        </w:rPr>
        <w:t xml:space="preserve">on </w:t>
      </w:r>
      <w:r w:rsidRPr="00E116B6" w:rsidR="00B322BC">
        <w:rPr>
          <w:lang w:val="en-GB"/>
        </w:rPr>
        <w:t>13 May 2004 (</w:t>
      </w:r>
      <w:r w:rsidRPr="00E116B6" w:rsidR="00F76F58">
        <w:rPr>
          <w:lang w:val="en-GB"/>
        </w:rPr>
        <w:t>see paragraph</w:t>
      </w:r>
      <w:r w:rsidRPr="00E116B6" w:rsidR="00665943">
        <w:rPr>
          <w:lang w:val="en-GB"/>
        </w:rPr>
        <w:t> </w:t>
      </w:r>
      <w:r w:rsidRPr="00E116B6" w:rsidR="00F76F58">
        <w:rPr>
          <w:lang w:val="en-GB"/>
        </w:rPr>
        <w:fldChar w:fldCharType="begin"/>
      </w:r>
      <w:r w:rsidRPr="00E116B6" w:rsidR="00F76F58">
        <w:rPr>
          <w:lang w:val="en-GB"/>
        </w:rPr>
        <w:instrText xml:space="preserve"> REF govargument \h </w:instrText>
      </w:r>
      <w:r w:rsidRPr="00E116B6" w:rsidR="00F76F58">
        <w:rPr>
          <w:lang w:val="en-GB"/>
        </w:rPr>
      </w:r>
      <w:r w:rsidRPr="00E116B6" w:rsidR="00F76F58">
        <w:rPr>
          <w:lang w:val="en-GB"/>
        </w:rPr>
        <w:fldChar w:fldCharType="separate"/>
      </w:r>
      <w:r w:rsidRPr="00E116B6" w:rsidR="00E116B6">
        <w:rPr>
          <w:noProof/>
          <w:lang w:val="en-GB"/>
        </w:rPr>
        <w:t>101</w:t>
      </w:r>
      <w:r w:rsidRPr="00E116B6" w:rsidR="00F76F58">
        <w:rPr>
          <w:lang w:val="en-GB"/>
        </w:rPr>
        <w:fldChar w:fldCharType="end"/>
      </w:r>
      <w:r w:rsidRPr="00E116B6" w:rsidR="00F76F58">
        <w:rPr>
          <w:lang w:val="en-GB"/>
        </w:rPr>
        <w:t xml:space="preserve"> </w:t>
      </w:r>
      <w:r w:rsidRPr="00E116B6" w:rsidR="00B322BC">
        <w:rPr>
          <w:lang w:val="en-GB"/>
        </w:rPr>
        <w:t>above)</w:t>
      </w:r>
      <w:r w:rsidRPr="00E116B6" w:rsidR="0040369A">
        <w:rPr>
          <w:lang w:val="en-GB"/>
        </w:rPr>
        <w:t xml:space="preserve">. </w:t>
      </w:r>
      <w:r w:rsidRPr="00E116B6" w:rsidR="00D03B3D">
        <w:rPr>
          <w:lang w:val="en-GB"/>
        </w:rPr>
        <w:t>Accordingly</w:t>
      </w:r>
      <w:r w:rsidRPr="00E116B6" w:rsidR="0040369A">
        <w:rPr>
          <w:lang w:val="en-GB"/>
        </w:rPr>
        <w:t xml:space="preserve">, they </w:t>
      </w:r>
      <w:r w:rsidRPr="00E116B6" w:rsidR="00011B73">
        <w:rPr>
          <w:lang w:val="en-GB"/>
        </w:rPr>
        <w:t xml:space="preserve">stated </w:t>
      </w:r>
      <w:r w:rsidRPr="00E116B6" w:rsidR="0040369A">
        <w:rPr>
          <w:lang w:val="en-GB"/>
        </w:rPr>
        <w:t xml:space="preserve">that the first applicant had </w:t>
      </w:r>
      <w:r w:rsidRPr="00E116B6" w:rsidR="00CA478E">
        <w:rPr>
          <w:lang w:val="en-GB"/>
        </w:rPr>
        <w:t xml:space="preserve">chosen to </w:t>
      </w:r>
      <w:r w:rsidRPr="00E116B6" w:rsidR="0040369A">
        <w:rPr>
          <w:lang w:val="en-GB"/>
        </w:rPr>
        <w:t>confess</w:t>
      </w:r>
      <w:r w:rsidRPr="00E116B6" w:rsidR="00011B73">
        <w:rPr>
          <w:lang w:val="en-GB"/>
        </w:rPr>
        <w:t xml:space="preserve"> </w:t>
      </w:r>
      <w:r w:rsidRPr="00E116B6" w:rsidR="0040369A">
        <w:rPr>
          <w:lang w:val="en-GB"/>
        </w:rPr>
        <w:t>about his and the second applicant</w:t>
      </w:r>
      <w:r w:rsidRPr="00E116B6" w:rsidR="00E116B6">
        <w:rPr>
          <w:lang w:val="en-GB"/>
        </w:rPr>
        <w:t>’</w:t>
      </w:r>
      <w:r w:rsidRPr="00E116B6" w:rsidR="0040369A">
        <w:rPr>
          <w:lang w:val="en-GB"/>
        </w:rPr>
        <w:t>s involvement in the attempted murder of his own free will. The Government emphasised that the admissibility of evidence was primarily a matter for regulati</w:t>
      </w:r>
      <w:r w:rsidRPr="00E116B6" w:rsidR="006555F4">
        <w:rPr>
          <w:lang w:val="en-GB"/>
        </w:rPr>
        <w:t xml:space="preserve">on </w:t>
      </w:r>
      <w:r w:rsidRPr="00E116B6" w:rsidR="0040369A">
        <w:rPr>
          <w:lang w:val="en-GB"/>
        </w:rPr>
        <w:t xml:space="preserve">under national law, and that the applicant had been given an opportunity to challenge the evidence against him in adversarial proceedings with the benefit of legal advice. Having heard his arguments in that respect, the trial court </w:t>
      </w:r>
      <w:r w:rsidRPr="00E116B6" w:rsidR="00011B73">
        <w:rPr>
          <w:lang w:val="en-GB"/>
        </w:rPr>
        <w:t xml:space="preserve">had </w:t>
      </w:r>
      <w:r w:rsidRPr="00E116B6" w:rsidR="0040369A">
        <w:rPr>
          <w:lang w:val="en-GB"/>
        </w:rPr>
        <w:t xml:space="preserve">declared certain pieces of evidence inadmissible, whilst confirming that the </w:t>
      </w:r>
      <w:r w:rsidRPr="00E116B6" w:rsidR="00B322BC">
        <w:rPr>
          <w:lang w:val="en-GB"/>
        </w:rPr>
        <w:t>remaining evidence</w:t>
      </w:r>
      <w:r w:rsidRPr="00E116B6" w:rsidR="0040369A">
        <w:rPr>
          <w:lang w:val="en-GB"/>
        </w:rPr>
        <w:t xml:space="preserve"> </w:t>
      </w:r>
      <w:r w:rsidRPr="00E116B6" w:rsidR="00011B73">
        <w:rPr>
          <w:lang w:val="en-GB"/>
        </w:rPr>
        <w:t xml:space="preserve">had </w:t>
      </w:r>
      <w:r w:rsidRPr="00E116B6" w:rsidR="0040369A">
        <w:rPr>
          <w:lang w:val="en-GB"/>
        </w:rPr>
        <w:t xml:space="preserve">not </w:t>
      </w:r>
      <w:r w:rsidRPr="00E116B6" w:rsidR="00011B73">
        <w:rPr>
          <w:lang w:val="en-GB"/>
        </w:rPr>
        <w:t xml:space="preserve">been </w:t>
      </w:r>
      <w:r w:rsidRPr="00E116B6" w:rsidR="0040369A">
        <w:rPr>
          <w:lang w:val="en-GB"/>
        </w:rPr>
        <w:t>tainted by any</w:t>
      </w:r>
      <w:r w:rsidRPr="00E116B6" w:rsidR="00CA478E">
        <w:rPr>
          <w:lang w:val="en-GB"/>
        </w:rPr>
        <w:t xml:space="preserve"> major</w:t>
      </w:r>
      <w:r w:rsidRPr="00E116B6" w:rsidR="0040369A">
        <w:rPr>
          <w:lang w:val="en-GB"/>
        </w:rPr>
        <w:t xml:space="preserve"> irregularity (see </w:t>
      </w:r>
      <w:r w:rsidRPr="00E116B6" w:rsidR="00F76F58">
        <w:rPr>
          <w:lang w:val="en-GB"/>
        </w:rPr>
        <w:t xml:space="preserve">paragraphs </w:t>
      </w:r>
      <w:r w:rsidRPr="00E116B6" w:rsidR="00F76F58">
        <w:rPr>
          <w:lang w:val="en-GB"/>
        </w:rPr>
        <w:fldChar w:fldCharType="begin"/>
      </w:r>
      <w:r w:rsidRPr="00E116B6" w:rsidR="00F76F58">
        <w:rPr>
          <w:lang w:val="en-GB"/>
        </w:rPr>
        <w:instrText xml:space="preserve"> REF evidences1 \h </w:instrText>
      </w:r>
      <w:r w:rsidRPr="00E116B6" w:rsidR="00F76F58">
        <w:rPr>
          <w:lang w:val="en-GB"/>
        </w:rPr>
      </w:r>
      <w:r w:rsidRPr="00E116B6" w:rsidR="00F76F58">
        <w:rPr>
          <w:lang w:val="en-GB"/>
        </w:rPr>
        <w:fldChar w:fldCharType="separate"/>
      </w:r>
      <w:r w:rsidRPr="00E116B6" w:rsidR="00E116B6">
        <w:rPr>
          <w:noProof/>
          <w:lang w:val="en-GB"/>
        </w:rPr>
        <w:t>72</w:t>
      </w:r>
      <w:r w:rsidRPr="00E116B6" w:rsidR="00F76F58">
        <w:rPr>
          <w:lang w:val="en-GB"/>
        </w:rPr>
        <w:fldChar w:fldCharType="end"/>
      </w:r>
      <w:r w:rsidRPr="00E116B6" w:rsidR="00F76F58">
        <w:rPr>
          <w:lang w:val="en-GB"/>
        </w:rPr>
        <w:t xml:space="preserve"> and </w:t>
      </w:r>
      <w:r w:rsidRPr="00E116B6" w:rsidR="00F76F58">
        <w:rPr>
          <w:lang w:val="en-GB"/>
        </w:rPr>
        <w:fldChar w:fldCharType="begin"/>
      </w:r>
      <w:r w:rsidRPr="00E116B6" w:rsidR="00F76F58">
        <w:rPr>
          <w:lang w:val="en-GB"/>
        </w:rPr>
        <w:instrText xml:space="preserve"> REF evidences2 \h </w:instrText>
      </w:r>
      <w:r w:rsidRPr="00E116B6" w:rsidR="00F76F58">
        <w:rPr>
          <w:lang w:val="en-GB"/>
        </w:rPr>
      </w:r>
      <w:r w:rsidRPr="00E116B6" w:rsidR="00F76F58">
        <w:rPr>
          <w:lang w:val="en-GB"/>
        </w:rPr>
        <w:fldChar w:fldCharType="separate"/>
      </w:r>
      <w:r w:rsidRPr="00E116B6" w:rsidR="00E116B6">
        <w:rPr>
          <w:noProof/>
          <w:lang w:val="en-GB"/>
        </w:rPr>
        <w:t>75</w:t>
      </w:r>
      <w:r w:rsidRPr="00E116B6" w:rsidR="00F76F58">
        <w:rPr>
          <w:lang w:val="en-GB"/>
        </w:rPr>
        <w:fldChar w:fldCharType="end"/>
      </w:r>
      <w:r w:rsidRPr="00E116B6" w:rsidR="00F76F58">
        <w:rPr>
          <w:lang w:val="en-GB"/>
        </w:rPr>
        <w:t xml:space="preserve"> </w:t>
      </w:r>
      <w:r w:rsidRPr="00E116B6" w:rsidR="0040369A">
        <w:rPr>
          <w:lang w:val="en-GB"/>
        </w:rPr>
        <w:t>above). The Government maintained that the reasons given by the domestic courts for his convicti</w:t>
      </w:r>
      <w:r w:rsidRPr="00E116B6" w:rsidR="006555F4">
        <w:rPr>
          <w:lang w:val="en-GB"/>
        </w:rPr>
        <w:t xml:space="preserve">on </w:t>
      </w:r>
      <w:r w:rsidRPr="00E116B6" w:rsidR="00011B73">
        <w:rPr>
          <w:lang w:val="en-GB"/>
        </w:rPr>
        <w:t xml:space="preserve">had been </w:t>
      </w:r>
      <w:r w:rsidRPr="00E116B6" w:rsidR="0040369A">
        <w:rPr>
          <w:lang w:val="en-GB"/>
        </w:rPr>
        <w:t>sufficient, and that i</w:t>
      </w:r>
      <w:r w:rsidRPr="00E116B6" w:rsidR="00CA478E">
        <w:rPr>
          <w:lang w:val="en-GB"/>
        </w:rPr>
        <w:t xml:space="preserve">t </w:t>
      </w:r>
      <w:r w:rsidRPr="00E116B6" w:rsidR="00011B73">
        <w:rPr>
          <w:lang w:val="en-GB"/>
        </w:rPr>
        <w:t xml:space="preserve">had </w:t>
      </w:r>
      <w:r w:rsidRPr="00E116B6" w:rsidR="00CA478E">
        <w:rPr>
          <w:lang w:val="en-GB"/>
        </w:rPr>
        <w:t xml:space="preserve">not </w:t>
      </w:r>
      <w:r w:rsidRPr="00E116B6" w:rsidR="00011B73">
        <w:rPr>
          <w:lang w:val="en-GB"/>
        </w:rPr>
        <w:t xml:space="preserve">been </w:t>
      </w:r>
      <w:r w:rsidRPr="00E116B6" w:rsidR="00CA478E">
        <w:rPr>
          <w:lang w:val="en-GB"/>
        </w:rPr>
        <w:t xml:space="preserve">necessary for them </w:t>
      </w:r>
      <w:r w:rsidRPr="00E116B6" w:rsidR="00011B73">
        <w:rPr>
          <w:lang w:val="en-GB"/>
        </w:rPr>
        <w:t xml:space="preserve">to </w:t>
      </w:r>
      <w:r w:rsidRPr="00E116B6" w:rsidR="0040369A">
        <w:rPr>
          <w:lang w:val="en-GB"/>
        </w:rPr>
        <w:t xml:space="preserve">answer all of </w:t>
      </w:r>
      <w:r w:rsidRPr="00E116B6" w:rsidR="00B322BC">
        <w:rPr>
          <w:lang w:val="en-GB"/>
        </w:rPr>
        <w:t>the applicants</w:t>
      </w:r>
      <w:r w:rsidRPr="00E116B6" w:rsidR="00E116B6">
        <w:rPr>
          <w:lang w:val="en-GB"/>
        </w:rPr>
        <w:t>’</w:t>
      </w:r>
      <w:r w:rsidRPr="00E116B6" w:rsidR="0040369A">
        <w:rPr>
          <w:lang w:val="en-GB"/>
        </w:rPr>
        <w:t xml:space="preserve"> </w:t>
      </w:r>
      <w:r w:rsidRPr="00E116B6" w:rsidR="00011B73">
        <w:rPr>
          <w:lang w:val="en-GB"/>
        </w:rPr>
        <w:t xml:space="preserve">defence </w:t>
      </w:r>
      <w:r w:rsidRPr="00E116B6" w:rsidR="0040369A">
        <w:rPr>
          <w:lang w:val="en-GB"/>
        </w:rPr>
        <w:t>arguments</w:t>
      </w:r>
      <w:r w:rsidRPr="00E116B6" w:rsidR="00CA478E">
        <w:rPr>
          <w:lang w:val="en-GB"/>
        </w:rPr>
        <w:t xml:space="preserve">, including those relating to </w:t>
      </w:r>
      <w:r w:rsidRPr="00E116B6" w:rsidR="00B322BC">
        <w:rPr>
          <w:lang w:val="en-GB"/>
        </w:rPr>
        <w:t>the first applicant</w:t>
      </w:r>
      <w:r w:rsidRPr="00E116B6" w:rsidR="00E116B6">
        <w:rPr>
          <w:lang w:val="en-GB"/>
        </w:rPr>
        <w:t>’</w:t>
      </w:r>
      <w:r w:rsidRPr="00E116B6" w:rsidR="00B322BC">
        <w:rPr>
          <w:lang w:val="en-GB"/>
        </w:rPr>
        <w:t>s</w:t>
      </w:r>
      <w:r w:rsidRPr="00E116B6" w:rsidR="00CA478E">
        <w:rPr>
          <w:lang w:val="en-GB"/>
        </w:rPr>
        <w:t xml:space="preserve"> purported alibi.</w:t>
      </w:r>
    </w:p>
    <w:p w:rsidRPr="00E116B6" w:rsidR="00CA478E" w:rsidP="00E116B6" w:rsidRDefault="00CA478E">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137</w:t>
      </w:r>
      <w:r w:rsidRPr="00E116B6">
        <w:rPr>
          <w:lang w:val="en-GB"/>
        </w:rPr>
        <w:fldChar w:fldCharType="end"/>
      </w:r>
      <w:r w:rsidRPr="00E116B6">
        <w:rPr>
          <w:lang w:val="en-GB"/>
        </w:rPr>
        <w:t>.  The Government stressed that although the first applicant</w:t>
      </w:r>
      <w:r w:rsidRPr="00E116B6" w:rsidR="00E116B6">
        <w:rPr>
          <w:lang w:val="en-GB"/>
        </w:rPr>
        <w:t>’</w:t>
      </w:r>
      <w:r w:rsidRPr="00E116B6">
        <w:rPr>
          <w:lang w:val="en-GB"/>
        </w:rPr>
        <w:t>s initial confessi</w:t>
      </w:r>
      <w:r w:rsidRPr="00E116B6" w:rsidR="006555F4">
        <w:rPr>
          <w:lang w:val="en-GB"/>
        </w:rPr>
        <w:t xml:space="preserve">on </w:t>
      </w:r>
      <w:r w:rsidRPr="00E116B6" w:rsidR="001B0C2E">
        <w:rPr>
          <w:lang w:val="en-GB"/>
        </w:rPr>
        <w:t>had been</w:t>
      </w:r>
      <w:r w:rsidRPr="00E116B6">
        <w:rPr>
          <w:lang w:val="en-GB"/>
        </w:rPr>
        <w:t xml:space="preserve"> obtained by the investigator in the absence of a lawyer, those statements </w:t>
      </w:r>
      <w:r w:rsidRPr="00E116B6" w:rsidR="001B0C2E">
        <w:rPr>
          <w:lang w:val="en-GB"/>
        </w:rPr>
        <w:t>had then been</w:t>
      </w:r>
      <w:r w:rsidRPr="00E116B6">
        <w:rPr>
          <w:lang w:val="en-GB"/>
        </w:rPr>
        <w:t xml:space="preserve"> declared inadmissible</w:t>
      </w:r>
      <w:r w:rsidRPr="00E116B6" w:rsidR="00011B73">
        <w:rPr>
          <w:lang w:val="en-GB"/>
        </w:rPr>
        <w:t xml:space="preserve"> by the trial court</w:t>
      </w:r>
      <w:r w:rsidRPr="00E116B6">
        <w:rPr>
          <w:lang w:val="en-GB"/>
        </w:rPr>
        <w:t xml:space="preserve">. </w:t>
      </w:r>
      <w:r w:rsidRPr="00E116B6" w:rsidR="00E73577">
        <w:rPr>
          <w:lang w:val="en-GB"/>
        </w:rPr>
        <w:t xml:space="preserve">The applicant had confirmed his previous statements during </w:t>
      </w:r>
      <w:r w:rsidRPr="00E116B6">
        <w:rPr>
          <w:lang w:val="en-GB"/>
        </w:rPr>
        <w:t xml:space="preserve">the </w:t>
      </w:r>
      <w:r w:rsidRPr="00E116B6" w:rsidR="00B322BC">
        <w:rPr>
          <w:lang w:val="en-GB"/>
        </w:rPr>
        <w:t>reconstructi</w:t>
      </w:r>
      <w:r w:rsidRPr="00E116B6" w:rsidR="006555F4">
        <w:rPr>
          <w:lang w:val="en-GB"/>
        </w:rPr>
        <w:t xml:space="preserve">on </w:t>
      </w:r>
      <w:r w:rsidRPr="00E116B6">
        <w:rPr>
          <w:lang w:val="en-GB"/>
        </w:rPr>
        <w:t>at the scene of the crime</w:t>
      </w:r>
      <w:r w:rsidRPr="00E116B6" w:rsidR="00E73577">
        <w:rPr>
          <w:lang w:val="en-GB"/>
        </w:rPr>
        <w:t xml:space="preserve"> and </w:t>
      </w:r>
      <w:r w:rsidRPr="00E116B6">
        <w:rPr>
          <w:lang w:val="en-GB"/>
        </w:rPr>
        <w:t xml:space="preserve">those </w:t>
      </w:r>
      <w:r w:rsidRPr="00E116B6" w:rsidR="00B322BC">
        <w:rPr>
          <w:lang w:val="en-GB"/>
        </w:rPr>
        <w:t xml:space="preserve">second </w:t>
      </w:r>
      <w:r w:rsidRPr="00E116B6">
        <w:rPr>
          <w:lang w:val="en-GB"/>
        </w:rPr>
        <w:t xml:space="preserve">statements </w:t>
      </w:r>
      <w:r w:rsidRPr="00E116B6" w:rsidR="001B0C2E">
        <w:rPr>
          <w:lang w:val="en-GB"/>
        </w:rPr>
        <w:t>had been made</w:t>
      </w:r>
      <w:r w:rsidRPr="00E116B6">
        <w:rPr>
          <w:lang w:val="en-GB"/>
        </w:rPr>
        <w:t xml:space="preserve"> in the presence of the public </w:t>
      </w:r>
      <w:r w:rsidRPr="00E116B6" w:rsidR="00D03B3D">
        <w:rPr>
          <w:lang w:val="en-GB"/>
        </w:rPr>
        <w:t xml:space="preserve">defence </w:t>
      </w:r>
      <w:r w:rsidRPr="00E116B6">
        <w:rPr>
          <w:lang w:val="en-GB"/>
        </w:rPr>
        <w:t xml:space="preserve">lawyer. </w:t>
      </w:r>
      <w:r w:rsidRPr="00E116B6" w:rsidR="00B322BC">
        <w:rPr>
          <w:lang w:val="en-GB"/>
        </w:rPr>
        <w:t>T</w:t>
      </w:r>
      <w:r w:rsidRPr="00E116B6">
        <w:rPr>
          <w:lang w:val="en-GB"/>
        </w:rPr>
        <w:t xml:space="preserve">he </w:t>
      </w:r>
      <w:r w:rsidRPr="00E116B6" w:rsidR="00011B73">
        <w:rPr>
          <w:lang w:val="en-GB"/>
        </w:rPr>
        <w:t>identificati</w:t>
      </w:r>
      <w:r w:rsidRPr="00E116B6" w:rsidR="006555F4">
        <w:rPr>
          <w:lang w:val="en-GB"/>
        </w:rPr>
        <w:t xml:space="preserve">on </w:t>
      </w:r>
      <w:r w:rsidRPr="00E116B6" w:rsidR="00011B73">
        <w:rPr>
          <w:lang w:val="en-GB"/>
        </w:rPr>
        <w:t xml:space="preserve">parade, in which the victim had pointed out </w:t>
      </w:r>
      <w:r w:rsidRPr="00E116B6">
        <w:rPr>
          <w:lang w:val="en-GB"/>
        </w:rPr>
        <w:t xml:space="preserve">the first applicant, </w:t>
      </w:r>
      <w:r w:rsidRPr="00E116B6" w:rsidR="00D03B3D">
        <w:rPr>
          <w:lang w:val="en-GB"/>
        </w:rPr>
        <w:t xml:space="preserve">and </w:t>
      </w:r>
      <w:r w:rsidRPr="00E116B6">
        <w:rPr>
          <w:lang w:val="en-GB"/>
        </w:rPr>
        <w:t>which was, according to the Government, one of the major investigative measure</w:t>
      </w:r>
      <w:r w:rsidRPr="00E116B6" w:rsidR="001B0C2E">
        <w:rPr>
          <w:lang w:val="en-GB"/>
        </w:rPr>
        <w:t>s</w:t>
      </w:r>
      <w:r w:rsidRPr="00E116B6" w:rsidR="00D03B3D">
        <w:rPr>
          <w:lang w:val="en-GB"/>
        </w:rPr>
        <w:t xml:space="preserve"> in the case</w:t>
      </w:r>
      <w:r w:rsidRPr="00E116B6">
        <w:rPr>
          <w:lang w:val="en-GB"/>
        </w:rPr>
        <w:t xml:space="preserve">, </w:t>
      </w:r>
      <w:r w:rsidRPr="00E116B6" w:rsidR="001B0C2E">
        <w:rPr>
          <w:lang w:val="en-GB"/>
        </w:rPr>
        <w:t>had similarly been</w:t>
      </w:r>
      <w:r w:rsidRPr="00E116B6">
        <w:rPr>
          <w:lang w:val="en-GB"/>
        </w:rPr>
        <w:t xml:space="preserve"> attended by the first applicant</w:t>
      </w:r>
      <w:r w:rsidRPr="00E116B6" w:rsidR="00E116B6">
        <w:rPr>
          <w:lang w:val="en-GB"/>
        </w:rPr>
        <w:t>’</w:t>
      </w:r>
      <w:r w:rsidRPr="00E116B6">
        <w:rPr>
          <w:lang w:val="en-GB"/>
        </w:rPr>
        <w:t xml:space="preserve">s public </w:t>
      </w:r>
      <w:r w:rsidRPr="00E116B6" w:rsidR="00D03B3D">
        <w:rPr>
          <w:lang w:val="en-GB"/>
        </w:rPr>
        <w:t xml:space="preserve">defence </w:t>
      </w:r>
      <w:r w:rsidRPr="00E116B6">
        <w:rPr>
          <w:lang w:val="en-GB"/>
        </w:rPr>
        <w:t xml:space="preserve">lawyer. The first applicant </w:t>
      </w:r>
      <w:r w:rsidRPr="00E116B6" w:rsidR="001B0C2E">
        <w:rPr>
          <w:lang w:val="en-GB"/>
        </w:rPr>
        <w:t>had been fully</w:t>
      </w:r>
      <w:r w:rsidRPr="00E116B6">
        <w:rPr>
          <w:lang w:val="en-GB"/>
        </w:rPr>
        <w:t xml:space="preserve"> satisfied with the quality of the services provided by th</w:t>
      </w:r>
      <w:r w:rsidRPr="00E116B6" w:rsidR="00D03B3D">
        <w:rPr>
          <w:lang w:val="en-GB"/>
        </w:rPr>
        <w:t xml:space="preserve">at </w:t>
      </w:r>
      <w:r w:rsidRPr="00E116B6">
        <w:rPr>
          <w:lang w:val="en-GB"/>
        </w:rPr>
        <w:t>lawyer until 4 June 2004. On th</w:t>
      </w:r>
      <w:r w:rsidRPr="00E116B6" w:rsidR="00011B73">
        <w:rPr>
          <w:lang w:val="en-GB"/>
        </w:rPr>
        <w:t>at</w:t>
      </w:r>
      <w:r w:rsidRPr="00E116B6">
        <w:rPr>
          <w:lang w:val="en-GB"/>
        </w:rPr>
        <w:t xml:space="preserve"> date, however, </w:t>
      </w:r>
      <w:r w:rsidRPr="00E116B6" w:rsidR="00011B73">
        <w:rPr>
          <w:lang w:val="en-GB"/>
        </w:rPr>
        <w:t xml:space="preserve">his request to have </w:t>
      </w:r>
      <w:r w:rsidRPr="00E116B6">
        <w:rPr>
          <w:lang w:val="en-GB"/>
        </w:rPr>
        <w:t xml:space="preserve">a lawyer </w:t>
      </w:r>
      <w:r w:rsidRPr="00E116B6" w:rsidR="00D03B3D">
        <w:rPr>
          <w:lang w:val="en-GB"/>
        </w:rPr>
        <w:t xml:space="preserve">chosen by </w:t>
      </w:r>
      <w:r w:rsidRPr="00E116B6">
        <w:rPr>
          <w:lang w:val="en-GB"/>
        </w:rPr>
        <w:t xml:space="preserve">his family </w:t>
      </w:r>
      <w:r w:rsidRPr="00E116B6" w:rsidR="001B0C2E">
        <w:rPr>
          <w:lang w:val="en-GB"/>
        </w:rPr>
        <w:t>had</w:t>
      </w:r>
      <w:r w:rsidRPr="00E116B6">
        <w:rPr>
          <w:lang w:val="en-GB"/>
        </w:rPr>
        <w:t xml:space="preserve"> immediately </w:t>
      </w:r>
      <w:r w:rsidRPr="00E116B6" w:rsidR="001B0C2E">
        <w:rPr>
          <w:lang w:val="en-GB"/>
        </w:rPr>
        <w:t xml:space="preserve">been </w:t>
      </w:r>
      <w:r w:rsidRPr="00E116B6">
        <w:rPr>
          <w:lang w:val="en-GB"/>
        </w:rPr>
        <w:t>accommodated.</w:t>
      </w:r>
      <w:r w:rsidRPr="00E116B6" w:rsidR="001B0C2E">
        <w:rPr>
          <w:lang w:val="en-GB"/>
        </w:rPr>
        <w:t xml:space="preserve"> The same held true with respect to the second applicant</w:t>
      </w:r>
      <w:r w:rsidRPr="00E116B6" w:rsidR="00011B73">
        <w:rPr>
          <w:lang w:val="en-GB"/>
        </w:rPr>
        <w:t>,</w:t>
      </w:r>
      <w:r w:rsidRPr="00E116B6" w:rsidR="001B0C2E">
        <w:rPr>
          <w:lang w:val="en-GB"/>
        </w:rPr>
        <w:t xml:space="preserve"> who had not initially requested a lawyer of his </w:t>
      </w:r>
      <w:r w:rsidRPr="00E116B6" w:rsidR="00B322BC">
        <w:rPr>
          <w:lang w:val="en-GB"/>
        </w:rPr>
        <w:t xml:space="preserve">own </w:t>
      </w:r>
      <w:r w:rsidRPr="00E116B6" w:rsidR="001B0C2E">
        <w:rPr>
          <w:lang w:val="en-GB"/>
        </w:rPr>
        <w:t xml:space="preserve">choosing, </w:t>
      </w:r>
      <w:r w:rsidRPr="00E116B6" w:rsidR="005838FE">
        <w:rPr>
          <w:lang w:val="en-GB"/>
        </w:rPr>
        <w:t xml:space="preserve">and who therefore had had </w:t>
      </w:r>
      <w:r w:rsidRPr="00E116B6" w:rsidR="001B0C2E">
        <w:rPr>
          <w:lang w:val="en-GB"/>
        </w:rPr>
        <w:t xml:space="preserve">a public </w:t>
      </w:r>
      <w:r w:rsidRPr="00E116B6" w:rsidR="005838FE">
        <w:rPr>
          <w:lang w:val="en-GB"/>
        </w:rPr>
        <w:t xml:space="preserve">defence </w:t>
      </w:r>
      <w:r w:rsidRPr="00E116B6" w:rsidR="001B0C2E">
        <w:rPr>
          <w:lang w:val="en-GB"/>
        </w:rPr>
        <w:t xml:space="preserve">lawyer appointed </w:t>
      </w:r>
      <w:r w:rsidRPr="00E116B6" w:rsidR="005838FE">
        <w:rPr>
          <w:lang w:val="en-GB"/>
        </w:rPr>
        <w:t xml:space="preserve">for him </w:t>
      </w:r>
      <w:r w:rsidRPr="00E116B6" w:rsidR="001B0C2E">
        <w:rPr>
          <w:lang w:val="en-GB"/>
        </w:rPr>
        <w:t>by the State up</w:t>
      </w:r>
      <w:r w:rsidRPr="00E116B6" w:rsidR="006555F4">
        <w:rPr>
          <w:lang w:val="en-GB"/>
        </w:rPr>
        <w:t xml:space="preserve">on </w:t>
      </w:r>
      <w:r w:rsidRPr="00E116B6" w:rsidR="001B0C2E">
        <w:rPr>
          <w:lang w:val="en-GB"/>
        </w:rPr>
        <w:t>his arrest.</w:t>
      </w:r>
    </w:p>
    <w:p w:rsidRPr="00E116B6" w:rsidR="001B0C2E" w:rsidP="00E116B6" w:rsidRDefault="001B0C2E">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138</w:t>
      </w:r>
      <w:r w:rsidRPr="00E116B6">
        <w:rPr>
          <w:lang w:val="en-GB"/>
        </w:rPr>
        <w:fldChar w:fldCharType="end"/>
      </w:r>
      <w:r w:rsidRPr="00E116B6">
        <w:rPr>
          <w:lang w:val="en-GB"/>
        </w:rPr>
        <w:t>.  The applicant</w:t>
      </w:r>
      <w:r w:rsidRPr="00E116B6" w:rsidR="007D4054">
        <w:rPr>
          <w:lang w:val="en-GB"/>
        </w:rPr>
        <w:t>s</w:t>
      </w:r>
      <w:r w:rsidRPr="00E116B6">
        <w:rPr>
          <w:lang w:val="en-GB"/>
        </w:rPr>
        <w:t xml:space="preserve"> submitted that since </w:t>
      </w:r>
      <w:r w:rsidRPr="00E116B6" w:rsidR="007D4054">
        <w:rPr>
          <w:lang w:val="en-GB"/>
        </w:rPr>
        <w:t>the first applicant</w:t>
      </w:r>
      <w:r w:rsidRPr="00E116B6" w:rsidR="00E116B6">
        <w:rPr>
          <w:lang w:val="en-GB"/>
        </w:rPr>
        <w:t>’</w:t>
      </w:r>
      <w:r w:rsidRPr="00E116B6" w:rsidR="007D4054">
        <w:rPr>
          <w:lang w:val="en-GB"/>
        </w:rPr>
        <w:t>s</w:t>
      </w:r>
      <w:r w:rsidRPr="00E116B6" w:rsidR="004B2BC9">
        <w:rPr>
          <w:lang w:val="en-GB"/>
        </w:rPr>
        <w:t xml:space="preserve"> initial confessi</w:t>
      </w:r>
      <w:r w:rsidRPr="00E116B6" w:rsidR="006555F4">
        <w:rPr>
          <w:lang w:val="en-GB"/>
        </w:rPr>
        <w:t xml:space="preserve">on </w:t>
      </w:r>
      <w:r w:rsidRPr="00E116B6">
        <w:rPr>
          <w:lang w:val="en-GB"/>
        </w:rPr>
        <w:t xml:space="preserve">had been extracted through torture and </w:t>
      </w:r>
      <w:r w:rsidRPr="00E116B6" w:rsidR="005838FE">
        <w:rPr>
          <w:lang w:val="en-GB"/>
        </w:rPr>
        <w:t xml:space="preserve">had been made </w:t>
      </w:r>
      <w:r w:rsidRPr="00E116B6">
        <w:rPr>
          <w:lang w:val="en-GB"/>
        </w:rPr>
        <w:t>in the absence of a lawyer</w:t>
      </w:r>
      <w:r w:rsidRPr="00E116B6" w:rsidR="005838FE">
        <w:rPr>
          <w:lang w:val="en-GB"/>
        </w:rPr>
        <w:t xml:space="preserve"> – </w:t>
      </w:r>
      <w:r w:rsidRPr="00E116B6" w:rsidR="00DA0B45">
        <w:rPr>
          <w:lang w:val="en-GB"/>
        </w:rPr>
        <w:t>evi</w:t>
      </w:r>
      <w:r w:rsidRPr="00E116B6">
        <w:rPr>
          <w:lang w:val="en-GB"/>
        </w:rPr>
        <w:t xml:space="preserve">dence </w:t>
      </w:r>
      <w:r w:rsidRPr="00E116B6" w:rsidR="00011B73">
        <w:rPr>
          <w:lang w:val="en-GB"/>
        </w:rPr>
        <w:t xml:space="preserve">that </w:t>
      </w:r>
      <w:r w:rsidRPr="00E116B6">
        <w:rPr>
          <w:lang w:val="en-GB"/>
        </w:rPr>
        <w:t>had subsequently been declared inadmissible by the trial court for being irregular</w:t>
      </w:r>
      <w:r w:rsidRPr="00E116B6" w:rsidR="005838FE">
        <w:rPr>
          <w:lang w:val="en-GB"/>
        </w:rPr>
        <w:t xml:space="preserve"> –</w:t>
      </w:r>
      <w:r w:rsidRPr="00E116B6">
        <w:rPr>
          <w:lang w:val="en-GB"/>
        </w:rPr>
        <w:t xml:space="preserve"> it was even more </w:t>
      </w:r>
      <w:r w:rsidRPr="00E116B6" w:rsidR="00B322BC">
        <w:rPr>
          <w:lang w:val="en-GB"/>
        </w:rPr>
        <w:t>difficult to understand why</w:t>
      </w:r>
      <w:r w:rsidRPr="00E116B6">
        <w:rPr>
          <w:lang w:val="en-GB"/>
        </w:rPr>
        <w:t xml:space="preserve"> the domestic courts </w:t>
      </w:r>
      <w:r w:rsidRPr="00E116B6" w:rsidR="00011B73">
        <w:rPr>
          <w:lang w:val="en-GB"/>
        </w:rPr>
        <w:t xml:space="preserve">had </w:t>
      </w:r>
      <w:r w:rsidRPr="00E116B6" w:rsidR="00B322BC">
        <w:rPr>
          <w:lang w:val="en-GB"/>
        </w:rPr>
        <w:t>chose</w:t>
      </w:r>
      <w:r w:rsidRPr="00E116B6" w:rsidR="00011B73">
        <w:rPr>
          <w:lang w:val="en-GB"/>
        </w:rPr>
        <w:t>n</w:t>
      </w:r>
      <w:r w:rsidRPr="00E116B6" w:rsidR="00B322BC">
        <w:rPr>
          <w:lang w:val="en-GB"/>
        </w:rPr>
        <w:t xml:space="preserve"> to rely </w:t>
      </w:r>
      <w:r w:rsidRPr="00E116B6" w:rsidR="006555F4">
        <w:rPr>
          <w:lang w:val="en-GB"/>
        </w:rPr>
        <w:t xml:space="preserve">on </w:t>
      </w:r>
      <w:r w:rsidRPr="00E116B6" w:rsidR="00011B73">
        <w:rPr>
          <w:lang w:val="en-GB"/>
        </w:rPr>
        <w:t xml:space="preserve">those </w:t>
      </w:r>
      <w:r w:rsidRPr="00E116B6" w:rsidR="00B322BC">
        <w:rPr>
          <w:lang w:val="en-GB"/>
        </w:rPr>
        <w:t xml:space="preserve">statements </w:t>
      </w:r>
      <w:r w:rsidRPr="00E116B6" w:rsidR="00011B73">
        <w:rPr>
          <w:lang w:val="en-GB"/>
        </w:rPr>
        <w:t xml:space="preserve">when </w:t>
      </w:r>
      <w:r w:rsidRPr="00E116B6" w:rsidR="005838FE">
        <w:rPr>
          <w:lang w:val="en-GB"/>
        </w:rPr>
        <w:t xml:space="preserve">they had been </w:t>
      </w:r>
      <w:r w:rsidRPr="00E116B6" w:rsidR="00011B73">
        <w:rPr>
          <w:lang w:val="en-GB"/>
        </w:rPr>
        <w:t xml:space="preserve">repeated </w:t>
      </w:r>
      <w:r w:rsidRPr="00E116B6" w:rsidR="00B322BC">
        <w:rPr>
          <w:lang w:val="en-GB"/>
        </w:rPr>
        <w:t>during the reconstructi</w:t>
      </w:r>
      <w:r w:rsidRPr="00E116B6" w:rsidR="006555F4">
        <w:rPr>
          <w:lang w:val="en-GB"/>
        </w:rPr>
        <w:t xml:space="preserve">on </w:t>
      </w:r>
      <w:r w:rsidRPr="00E116B6" w:rsidR="00B322BC">
        <w:rPr>
          <w:lang w:val="en-GB"/>
        </w:rPr>
        <w:t>of the events</w:t>
      </w:r>
      <w:r w:rsidRPr="00E116B6">
        <w:rPr>
          <w:lang w:val="en-GB"/>
        </w:rPr>
        <w:t xml:space="preserve"> at the scene of the crime</w:t>
      </w:r>
      <w:r w:rsidRPr="00E116B6" w:rsidR="007D4054">
        <w:rPr>
          <w:lang w:val="en-GB"/>
        </w:rPr>
        <w:t>.</w:t>
      </w:r>
      <w:r w:rsidRPr="00E116B6" w:rsidR="00B322BC">
        <w:rPr>
          <w:lang w:val="en-GB"/>
        </w:rPr>
        <w:t xml:space="preserve"> </w:t>
      </w:r>
      <w:r w:rsidRPr="00E116B6" w:rsidR="005838FE">
        <w:rPr>
          <w:lang w:val="en-GB"/>
        </w:rPr>
        <w:t xml:space="preserve">The applicants also reiterated that </w:t>
      </w:r>
      <w:r w:rsidRPr="00E116B6" w:rsidR="00EC462D">
        <w:rPr>
          <w:lang w:val="en-GB"/>
        </w:rPr>
        <w:t xml:space="preserve">the procedure </w:t>
      </w:r>
      <w:r w:rsidRPr="00E116B6" w:rsidR="005838FE">
        <w:rPr>
          <w:lang w:val="en-GB"/>
        </w:rPr>
        <w:t xml:space="preserve">in which the victim had </w:t>
      </w:r>
      <w:r w:rsidRPr="00E116B6" w:rsidR="00EC462D">
        <w:rPr>
          <w:lang w:val="en-GB"/>
        </w:rPr>
        <w:t>identif</w:t>
      </w:r>
      <w:r w:rsidRPr="00E116B6" w:rsidR="005838FE">
        <w:rPr>
          <w:lang w:val="en-GB"/>
        </w:rPr>
        <w:t xml:space="preserve">ied </w:t>
      </w:r>
      <w:r w:rsidRPr="00E116B6" w:rsidR="00EC462D">
        <w:rPr>
          <w:lang w:val="en-GB"/>
        </w:rPr>
        <w:t>the first applicant</w:t>
      </w:r>
      <w:r w:rsidRPr="00E116B6" w:rsidR="005838FE">
        <w:rPr>
          <w:lang w:val="en-GB"/>
        </w:rPr>
        <w:t xml:space="preserve"> </w:t>
      </w:r>
      <w:r w:rsidRPr="00E116B6" w:rsidR="00EC462D">
        <w:rPr>
          <w:lang w:val="en-GB"/>
        </w:rPr>
        <w:t>had been conducted with serious procedural deficiencies</w:t>
      </w:r>
      <w:r w:rsidRPr="00E116B6" w:rsidR="00011B73">
        <w:rPr>
          <w:lang w:val="en-GB"/>
        </w:rPr>
        <w:t>.</w:t>
      </w:r>
      <w:r w:rsidRPr="00E116B6" w:rsidR="00EC462D">
        <w:rPr>
          <w:lang w:val="en-GB"/>
        </w:rPr>
        <w:t xml:space="preserve"> </w:t>
      </w:r>
      <w:r w:rsidRPr="00E116B6" w:rsidR="00B322BC">
        <w:rPr>
          <w:lang w:val="en-GB"/>
        </w:rPr>
        <w:t>T</w:t>
      </w:r>
      <w:r w:rsidRPr="00E116B6" w:rsidR="0093025B">
        <w:rPr>
          <w:lang w:val="en-GB"/>
        </w:rPr>
        <w:t xml:space="preserve">he applicants </w:t>
      </w:r>
      <w:r w:rsidRPr="00E116B6" w:rsidR="00B322BC">
        <w:rPr>
          <w:lang w:val="en-GB"/>
        </w:rPr>
        <w:t xml:space="preserve">further complained </w:t>
      </w:r>
      <w:r w:rsidRPr="00E116B6" w:rsidR="0093025B">
        <w:rPr>
          <w:lang w:val="en-GB"/>
        </w:rPr>
        <w:t xml:space="preserve">that the domestic courts </w:t>
      </w:r>
      <w:r w:rsidRPr="00E116B6" w:rsidR="00B322BC">
        <w:rPr>
          <w:lang w:val="en-GB"/>
        </w:rPr>
        <w:t xml:space="preserve">had </w:t>
      </w:r>
      <w:r w:rsidRPr="00E116B6" w:rsidR="0093025B">
        <w:rPr>
          <w:lang w:val="en-GB"/>
        </w:rPr>
        <w:t xml:space="preserve">failed to give any meaningful answer to </w:t>
      </w:r>
      <w:r w:rsidRPr="00E116B6" w:rsidR="00B322BC">
        <w:rPr>
          <w:lang w:val="en-GB"/>
        </w:rPr>
        <w:t>the first applicant</w:t>
      </w:r>
      <w:r w:rsidRPr="00E116B6" w:rsidR="00E116B6">
        <w:rPr>
          <w:lang w:val="en-GB"/>
        </w:rPr>
        <w:t>’</w:t>
      </w:r>
      <w:r w:rsidRPr="00E116B6" w:rsidR="00B322BC">
        <w:rPr>
          <w:lang w:val="en-GB"/>
        </w:rPr>
        <w:t xml:space="preserve">s </w:t>
      </w:r>
      <w:r w:rsidRPr="00E116B6" w:rsidR="0093025B">
        <w:rPr>
          <w:lang w:val="en-GB"/>
        </w:rPr>
        <w:t xml:space="preserve">arguments </w:t>
      </w:r>
      <w:r w:rsidRPr="00E116B6" w:rsidR="00692A09">
        <w:rPr>
          <w:lang w:val="en-GB"/>
        </w:rPr>
        <w:t xml:space="preserve">that he had had an </w:t>
      </w:r>
      <w:r w:rsidRPr="00E116B6" w:rsidR="00B322BC">
        <w:rPr>
          <w:lang w:val="en-GB"/>
        </w:rPr>
        <w:t>alibi</w:t>
      </w:r>
      <w:r w:rsidRPr="00E116B6" w:rsidR="0093025B">
        <w:rPr>
          <w:lang w:val="en-GB"/>
        </w:rPr>
        <w:t>.</w:t>
      </w:r>
      <w:r w:rsidRPr="00E116B6" w:rsidR="00B322BC">
        <w:rPr>
          <w:lang w:val="en-GB"/>
        </w:rPr>
        <w:t xml:space="preserve"> The second applicant also maintained that although </w:t>
      </w:r>
      <w:r w:rsidRPr="00E116B6" w:rsidR="005838FE">
        <w:rPr>
          <w:lang w:val="en-GB"/>
        </w:rPr>
        <w:t xml:space="preserve">he had </w:t>
      </w:r>
      <w:r w:rsidRPr="00E116B6" w:rsidR="00B322BC">
        <w:rPr>
          <w:lang w:val="en-GB"/>
        </w:rPr>
        <w:t xml:space="preserve">formally </w:t>
      </w:r>
      <w:r w:rsidRPr="00E116B6" w:rsidR="00E73577">
        <w:rPr>
          <w:lang w:val="en-GB"/>
        </w:rPr>
        <w:t xml:space="preserve">been </w:t>
      </w:r>
      <w:r w:rsidRPr="00E116B6" w:rsidR="00B322BC">
        <w:rPr>
          <w:lang w:val="en-GB"/>
        </w:rPr>
        <w:t xml:space="preserve">assigned a public </w:t>
      </w:r>
      <w:r w:rsidRPr="00E116B6" w:rsidR="005838FE">
        <w:rPr>
          <w:lang w:val="en-GB"/>
        </w:rPr>
        <w:t xml:space="preserve">defence </w:t>
      </w:r>
      <w:r w:rsidRPr="00E116B6" w:rsidR="00B322BC">
        <w:rPr>
          <w:lang w:val="en-GB"/>
        </w:rPr>
        <w:t>lawyer</w:t>
      </w:r>
      <w:r w:rsidRPr="00E116B6" w:rsidR="005838FE">
        <w:rPr>
          <w:lang w:val="en-GB"/>
        </w:rPr>
        <w:t xml:space="preserve">, that lawyer </w:t>
      </w:r>
      <w:r w:rsidRPr="00E116B6" w:rsidR="00692A09">
        <w:rPr>
          <w:lang w:val="en-GB"/>
        </w:rPr>
        <w:t xml:space="preserve">had </w:t>
      </w:r>
      <w:r w:rsidRPr="00E116B6" w:rsidR="00B322BC">
        <w:rPr>
          <w:lang w:val="en-GB"/>
        </w:rPr>
        <w:t>never actual</w:t>
      </w:r>
      <w:r w:rsidRPr="00E116B6" w:rsidR="005838FE">
        <w:rPr>
          <w:lang w:val="en-GB"/>
        </w:rPr>
        <w:t>ly</w:t>
      </w:r>
      <w:r w:rsidRPr="00E116B6" w:rsidR="00B322BC">
        <w:rPr>
          <w:lang w:val="en-GB"/>
        </w:rPr>
        <w:t xml:space="preserve"> taken p</w:t>
      </w:r>
      <w:r w:rsidRPr="00E116B6" w:rsidR="00692A09">
        <w:rPr>
          <w:lang w:val="en-GB"/>
        </w:rPr>
        <w:t xml:space="preserve">art </w:t>
      </w:r>
      <w:r w:rsidRPr="00E116B6" w:rsidR="00B322BC">
        <w:rPr>
          <w:lang w:val="en-GB"/>
        </w:rPr>
        <w:t xml:space="preserve">in any </w:t>
      </w:r>
      <w:r w:rsidRPr="00E116B6" w:rsidR="00692A09">
        <w:rPr>
          <w:lang w:val="en-GB"/>
        </w:rPr>
        <w:t xml:space="preserve">of the </w:t>
      </w:r>
      <w:r w:rsidRPr="00E116B6" w:rsidR="00B322BC">
        <w:rPr>
          <w:lang w:val="en-GB"/>
        </w:rPr>
        <w:t xml:space="preserve">early investigative measures </w:t>
      </w:r>
      <w:r w:rsidRPr="00E116B6" w:rsidR="00692A09">
        <w:rPr>
          <w:lang w:val="en-GB"/>
        </w:rPr>
        <w:t>at T</w:t>
      </w:r>
      <w:r w:rsidRPr="00E116B6" w:rsidR="00B322BC">
        <w:rPr>
          <w:lang w:val="en-GB"/>
        </w:rPr>
        <w:t>bilisi police headquarters</w:t>
      </w:r>
      <w:r w:rsidRPr="00E116B6" w:rsidR="003B1555">
        <w:rPr>
          <w:lang w:val="en-GB"/>
        </w:rPr>
        <w:t>.</w:t>
      </w:r>
    </w:p>
    <w:p w:rsidRPr="00E116B6" w:rsidR="00A115CC" w:rsidP="00E116B6" w:rsidRDefault="00A115CC">
      <w:pPr>
        <w:pStyle w:val="ECHRHeading3"/>
        <w:rPr>
          <w:lang w:val="en-GB"/>
        </w:rPr>
      </w:pPr>
      <w:r w:rsidRPr="00E116B6">
        <w:rPr>
          <w:lang w:val="en-GB"/>
        </w:rPr>
        <w:t>2.  The Court</w:t>
      </w:r>
      <w:r w:rsidRPr="00E116B6" w:rsidR="00E116B6">
        <w:rPr>
          <w:lang w:val="en-GB"/>
        </w:rPr>
        <w:t>’</w:t>
      </w:r>
      <w:r w:rsidRPr="00E116B6">
        <w:rPr>
          <w:lang w:val="en-GB"/>
        </w:rPr>
        <w:t>s assessment</w:t>
      </w:r>
    </w:p>
    <w:p w:rsidRPr="00E116B6" w:rsidR="00A115CC" w:rsidP="00E116B6" w:rsidRDefault="00AA5C09">
      <w:pPr>
        <w:pStyle w:val="ECHRHeading4"/>
        <w:rPr>
          <w:lang w:val="en-GB"/>
        </w:rPr>
      </w:pPr>
      <w:r w:rsidRPr="00E116B6">
        <w:rPr>
          <w:lang w:val="en-GB"/>
        </w:rPr>
        <w:t>(</w:t>
      </w:r>
      <w:r w:rsidRPr="00E116B6" w:rsidR="00471C05">
        <w:rPr>
          <w:lang w:val="en-GB"/>
        </w:rPr>
        <w:t>a</w:t>
      </w:r>
      <w:r w:rsidRPr="00E116B6">
        <w:rPr>
          <w:lang w:val="en-GB"/>
        </w:rPr>
        <w:t>)</w:t>
      </w:r>
      <w:r w:rsidRPr="00E116B6" w:rsidR="00BD03AB">
        <w:rPr>
          <w:lang w:val="en-GB"/>
        </w:rPr>
        <w:t>  </w:t>
      </w:r>
      <w:r w:rsidRPr="00E116B6" w:rsidR="00471C05">
        <w:rPr>
          <w:lang w:val="en-GB"/>
        </w:rPr>
        <w:t>General principles</w:t>
      </w:r>
    </w:p>
    <w:p w:rsidRPr="00E116B6" w:rsidR="00AA2659" w:rsidP="00E116B6" w:rsidRDefault="004C4CF3">
      <w:pPr>
        <w:pStyle w:val="ECHRPara"/>
        <w:rPr>
          <w:snapToGrid w:val="0"/>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139</w:t>
      </w:r>
      <w:r w:rsidRPr="00E116B6">
        <w:rPr>
          <w:lang w:val="en-GB"/>
        </w:rPr>
        <w:fldChar w:fldCharType="end"/>
      </w:r>
      <w:r w:rsidRPr="00E116B6" w:rsidR="00471C05">
        <w:rPr>
          <w:lang w:val="en-GB"/>
        </w:rPr>
        <w:t xml:space="preserve">.  The Court reiterates that it is not its </w:t>
      </w:r>
      <w:r w:rsidRPr="00E116B6" w:rsidR="00995ECC">
        <w:rPr>
          <w:lang w:val="en-GB"/>
        </w:rPr>
        <w:t xml:space="preserve">role </w:t>
      </w:r>
      <w:r w:rsidRPr="00E116B6" w:rsidR="00471C05">
        <w:rPr>
          <w:lang w:val="en-GB"/>
        </w:rPr>
        <w:t>to determine, as a matter of principle, whether particular types of evidence may be admissible. The questi</w:t>
      </w:r>
      <w:r w:rsidRPr="00E116B6" w:rsidR="006555F4">
        <w:rPr>
          <w:lang w:val="en-GB"/>
        </w:rPr>
        <w:t xml:space="preserve">on </w:t>
      </w:r>
      <w:r w:rsidRPr="00E116B6" w:rsidR="00471C05">
        <w:rPr>
          <w:lang w:val="en-GB"/>
        </w:rPr>
        <w:t>which must be answered is whether the proceedings as a whole, including the way in which the evidence was obtained, were fair. This involves an examinati</w:t>
      </w:r>
      <w:r w:rsidRPr="00E116B6" w:rsidR="006555F4">
        <w:rPr>
          <w:lang w:val="en-GB"/>
        </w:rPr>
        <w:t xml:space="preserve">on </w:t>
      </w:r>
      <w:r w:rsidRPr="00E116B6" w:rsidR="00471C05">
        <w:rPr>
          <w:lang w:val="en-GB"/>
        </w:rPr>
        <w:t>of the unlawfulness in questi</w:t>
      </w:r>
      <w:r w:rsidRPr="00E116B6" w:rsidR="006555F4">
        <w:rPr>
          <w:lang w:val="en-GB"/>
        </w:rPr>
        <w:t xml:space="preserve">on </w:t>
      </w:r>
      <w:r w:rsidRPr="00E116B6" w:rsidR="00471C05">
        <w:rPr>
          <w:lang w:val="en-GB"/>
        </w:rPr>
        <w:t>and, where the violati</w:t>
      </w:r>
      <w:r w:rsidRPr="00E116B6" w:rsidR="006555F4">
        <w:rPr>
          <w:lang w:val="en-GB"/>
        </w:rPr>
        <w:t xml:space="preserve">on </w:t>
      </w:r>
      <w:r w:rsidRPr="00E116B6" w:rsidR="00471C05">
        <w:rPr>
          <w:lang w:val="en-GB"/>
        </w:rPr>
        <w:t>of another Conventi</w:t>
      </w:r>
      <w:r w:rsidRPr="00E116B6" w:rsidR="006555F4">
        <w:rPr>
          <w:lang w:val="en-GB"/>
        </w:rPr>
        <w:t xml:space="preserve">on </w:t>
      </w:r>
      <w:r w:rsidRPr="00E116B6" w:rsidR="00471C05">
        <w:rPr>
          <w:lang w:val="en-GB"/>
        </w:rPr>
        <w:t>right is concerned, the nature of the violati</w:t>
      </w:r>
      <w:r w:rsidRPr="00E116B6" w:rsidR="006555F4">
        <w:rPr>
          <w:lang w:val="en-GB"/>
        </w:rPr>
        <w:t xml:space="preserve">on </w:t>
      </w:r>
      <w:r w:rsidRPr="00E116B6" w:rsidR="00471C05">
        <w:rPr>
          <w:lang w:val="en-GB"/>
        </w:rPr>
        <w:t xml:space="preserve">found (see </w:t>
      </w:r>
      <w:r w:rsidRPr="00E116B6" w:rsidR="009F0DE4">
        <w:rPr>
          <w:i/>
          <w:lang w:val="en-GB"/>
        </w:rPr>
        <w:t>Allan v. the United Kingdom</w:t>
      </w:r>
      <w:r w:rsidRPr="00E116B6" w:rsidR="009F0DE4">
        <w:rPr>
          <w:lang w:val="en-GB"/>
        </w:rPr>
        <w:t xml:space="preserve">, no. 48539/99, </w:t>
      </w:r>
      <w:r w:rsidRPr="00E116B6" w:rsidR="009F0DE4">
        <w:rPr>
          <w:rFonts w:ascii="Times New Roman" w:hAnsi="Times New Roman" w:cs="Times New Roman"/>
          <w:lang w:val="en-GB"/>
        </w:rPr>
        <w:t>§</w:t>
      </w:r>
      <w:r w:rsidRPr="00E116B6" w:rsidR="00F1013D">
        <w:rPr>
          <w:lang w:val="en-GB"/>
        </w:rPr>
        <w:t> </w:t>
      </w:r>
      <w:r w:rsidRPr="00E116B6" w:rsidR="009F0DE4">
        <w:rPr>
          <w:lang w:val="en-GB"/>
        </w:rPr>
        <w:t>42, ECHR 2002-IX</w:t>
      </w:r>
      <w:r w:rsidRPr="00E116B6" w:rsidR="00471C05">
        <w:rPr>
          <w:lang w:val="en-GB"/>
        </w:rPr>
        <w:t>).</w:t>
      </w:r>
      <w:r w:rsidRPr="00E116B6" w:rsidR="00386C88">
        <w:rPr>
          <w:lang w:val="en-GB"/>
        </w:rPr>
        <w:t xml:space="preserve"> </w:t>
      </w:r>
      <w:r w:rsidRPr="00E116B6" w:rsidR="00AC3158">
        <w:rPr>
          <w:lang w:val="en-GB"/>
        </w:rPr>
        <w:t xml:space="preserve">Furthermore, </w:t>
      </w:r>
      <w:r w:rsidRPr="00E116B6" w:rsidR="00995ECC">
        <w:rPr>
          <w:lang w:val="en-GB"/>
        </w:rPr>
        <w:t xml:space="preserve">different </w:t>
      </w:r>
      <w:r w:rsidRPr="00E116B6" w:rsidR="00471C05">
        <w:rPr>
          <w:lang w:val="en-GB"/>
        </w:rPr>
        <w:t>considerations apply</w:t>
      </w:r>
      <w:r w:rsidRPr="00E116B6" w:rsidR="00AC3158">
        <w:rPr>
          <w:lang w:val="en-GB"/>
        </w:rPr>
        <w:t xml:space="preserve"> </w:t>
      </w:r>
      <w:r w:rsidRPr="00E116B6" w:rsidR="00471C05">
        <w:rPr>
          <w:lang w:val="en-GB"/>
        </w:rPr>
        <w:t xml:space="preserve">in respect of the use in criminal proceedings of evidence </w:t>
      </w:r>
      <w:r w:rsidRPr="00E116B6" w:rsidR="00AA5C09">
        <w:rPr>
          <w:lang w:val="en-GB"/>
        </w:rPr>
        <w:t xml:space="preserve">recovered </w:t>
      </w:r>
      <w:r w:rsidRPr="00E116B6" w:rsidR="00471C05">
        <w:rPr>
          <w:lang w:val="en-GB"/>
        </w:rPr>
        <w:t>by a measure found to be in breach of Article 3</w:t>
      </w:r>
      <w:r w:rsidRPr="00E116B6" w:rsidR="00222C50">
        <w:rPr>
          <w:lang w:val="en-GB"/>
        </w:rPr>
        <w:t>.</w:t>
      </w:r>
      <w:r w:rsidRPr="00E116B6" w:rsidR="00AC3158">
        <w:rPr>
          <w:lang w:val="en-GB"/>
        </w:rPr>
        <w:t xml:space="preserve"> T</w:t>
      </w:r>
      <w:r w:rsidRPr="00E116B6" w:rsidR="00222C50">
        <w:rPr>
          <w:lang w:val="en-GB"/>
        </w:rPr>
        <w:t xml:space="preserve">he </w:t>
      </w:r>
      <w:r w:rsidRPr="00E116B6" w:rsidR="008B127D">
        <w:rPr>
          <w:lang w:val="en-GB"/>
        </w:rPr>
        <w:t>admissi</w:t>
      </w:r>
      <w:r w:rsidRPr="00E116B6" w:rsidR="006555F4">
        <w:rPr>
          <w:lang w:val="en-GB"/>
        </w:rPr>
        <w:t xml:space="preserve">on </w:t>
      </w:r>
      <w:r w:rsidRPr="00E116B6" w:rsidR="008B127D">
        <w:rPr>
          <w:lang w:val="en-GB"/>
        </w:rPr>
        <w:t>into the case file of</w:t>
      </w:r>
      <w:r w:rsidRPr="00E116B6" w:rsidR="00222C50">
        <w:rPr>
          <w:lang w:val="en-GB"/>
        </w:rPr>
        <w:t xml:space="preserve"> statement</w:t>
      </w:r>
      <w:r w:rsidRPr="00E116B6" w:rsidR="00AC3158">
        <w:rPr>
          <w:lang w:val="en-GB"/>
        </w:rPr>
        <w:t xml:space="preserve">s obtained as a result of </w:t>
      </w:r>
      <w:r w:rsidRPr="00E116B6" w:rsidR="005838FE">
        <w:rPr>
          <w:lang w:val="en-GB"/>
        </w:rPr>
        <w:t xml:space="preserve">a </w:t>
      </w:r>
      <w:r w:rsidRPr="00E116B6" w:rsidR="00AC3158">
        <w:rPr>
          <w:lang w:val="en-GB"/>
        </w:rPr>
        <w:t>violati</w:t>
      </w:r>
      <w:r w:rsidRPr="00E116B6" w:rsidR="006555F4">
        <w:rPr>
          <w:lang w:val="en-GB"/>
        </w:rPr>
        <w:t xml:space="preserve">on </w:t>
      </w:r>
      <w:r w:rsidRPr="00E116B6" w:rsidR="00AC3158">
        <w:rPr>
          <w:lang w:val="en-GB"/>
        </w:rPr>
        <w:t>of Article 3</w:t>
      </w:r>
      <w:r w:rsidRPr="00E116B6" w:rsidR="0000400E">
        <w:rPr>
          <w:lang w:val="en-GB"/>
        </w:rPr>
        <w:t> </w:t>
      </w:r>
      <w:r w:rsidRPr="00E116B6" w:rsidR="00222C50">
        <w:rPr>
          <w:lang w:val="en-GB"/>
        </w:rPr>
        <w:t>renders the proceedings as a whole automatically unfair, in breach of Article 6</w:t>
      </w:r>
      <w:r w:rsidRPr="00E116B6" w:rsidR="00AA5C09">
        <w:rPr>
          <w:lang w:val="en-GB"/>
        </w:rPr>
        <w:t xml:space="preserve"> (see </w:t>
      </w:r>
      <w:r w:rsidRPr="00E116B6" w:rsidR="00AA5C09">
        <w:rPr>
          <w:i/>
          <w:lang w:val="en-GB"/>
        </w:rPr>
        <w:t>Harutyunyan v.</w:t>
      </w:r>
      <w:r w:rsidRPr="00E116B6" w:rsidR="00055BAB">
        <w:rPr>
          <w:lang w:val="en-GB"/>
        </w:rPr>
        <w:t> </w:t>
      </w:r>
      <w:r w:rsidRPr="00E116B6" w:rsidR="00AA5C09">
        <w:rPr>
          <w:i/>
          <w:lang w:val="en-GB"/>
        </w:rPr>
        <w:t>Armenia</w:t>
      </w:r>
      <w:r w:rsidRPr="00E116B6" w:rsidR="00AA5C09">
        <w:rPr>
          <w:lang w:val="en-GB"/>
        </w:rPr>
        <w:t xml:space="preserve">, no. 36549/03, § 63, ECHR 2007-VIII; </w:t>
      </w:r>
      <w:r w:rsidRPr="00E116B6" w:rsidR="00AA5C09">
        <w:rPr>
          <w:i/>
          <w:lang w:val="en-GB"/>
        </w:rPr>
        <w:t>Jalloh v. Germany</w:t>
      </w:r>
      <w:r w:rsidRPr="00E116B6" w:rsidR="00AA5C09">
        <w:rPr>
          <w:lang w:val="en-GB"/>
        </w:rPr>
        <w:t xml:space="preserve"> [GC], no. 54810/00, §§ 99 and 10</w:t>
      </w:r>
      <w:r w:rsidRPr="00E116B6" w:rsidR="001B3B14">
        <w:rPr>
          <w:lang w:val="en-GB"/>
        </w:rPr>
        <w:t>5</w:t>
      </w:r>
      <w:r w:rsidRPr="00E116B6" w:rsidR="00AA5C09">
        <w:rPr>
          <w:lang w:val="en-GB"/>
        </w:rPr>
        <w:t>, ECHR 2006-IX, and</w:t>
      </w:r>
      <w:r w:rsidRPr="00E116B6" w:rsidR="001B3B14">
        <w:rPr>
          <w:lang w:val="en-GB"/>
        </w:rPr>
        <w:t xml:space="preserve"> </w:t>
      </w:r>
      <w:r w:rsidRPr="00E116B6" w:rsidR="001B3B14">
        <w:rPr>
          <w:i/>
          <w:lang w:val="en-GB"/>
        </w:rPr>
        <w:t>Fidancı v. Turkey</w:t>
      </w:r>
      <w:r w:rsidRPr="00E116B6" w:rsidR="001B3B14">
        <w:rPr>
          <w:lang w:val="en-GB"/>
        </w:rPr>
        <w:t>, no.</w:t>
      </w:r>
      <w:r w:rsidRPr="00E116B6" w:rsidR="00055277">
        <w:rPr>
          <w:lang w:val="en-GB"/>
        </w:rPr>
        <w:t> </w:t>
      </w:r>
      <w:r w:rsidRPr="00E116B6" w:rsidR="001B3B14">
        <w:rPr>
          <w:lang w:val="en-GB"/>
        </w:rPr>
        <w:t>17730/07</w:t>
      </w:r>
      <w:r w:rsidRPr="00E116B6" w:rsidR="001B3B14">
        <w:rPr>
          <w:snapToGrid w:val="0"/>
          <w:szCs w:val="24"/>
          <w:lang w:val="en-GB"/>
        </w:rPr>
        <w:t>, § 34, 17 January 2012</w:t>
      </w:r>
      <w:r w:rsidRPr="00E116B6" w:rsidR="00AA5C09">
        <w:rPr>
          <w:lang w:val="en-GB"/>
        </w:rPr>
        <w:t>)</w:t>
      </w:r>
      <w:r w:rsidRPr="00E116B6" w:rsidR="008B127D">
        <w:rPr>
          <w:lang w:val="en-GB"/>
        </w:rPr>
        <w:t xml:space="preserve">. This </w:t>
      </w:r>
      <w:r w:rsidRPr="00E116B6" w:rsidR="00AC3158">
        <w:rPr>
          <w:lang w:val="en-GB"/>
        </w:rPr>
        <w:t>rule</w:t>
      </w:r>
      <w:r w:rsidRPr="00E116B6" w:rsidR="008B127D">
        <w:rPr>
          <w:lang w:val="en-GB"/>
        </w:rPr>
        <w:t xml:space="preserve"> applies irrespective of the probative value of the statements and of whether their use has been decisive in securing a convicti</w:t>
      </w:r>
      <w:r w:rsidRPr="00E116B6" w:rsidR="006555F4">
        <w:rPr>
          <w:lang w:val="en-GB"/>
        </w:rPr>
        <w:t xml:space="preserve">on </w:t>
      </w:r>
      <w:r w:rsidRPr="00E116B6" w:rsidR="00222C50">
        <w:rPr>
          <w:lang w:val="en-GB"/>
        </w:rPr>
        <w:t xml:space="preserve">(see </w:t>
      </w:r>
      <w:r w:rsidRPr="00E116B6" w:rsidR="00222C50">
        <w:rPr>
          <w:i/>
          <w:lang w:val="en-GB"/>
        </w:rPr>
        <w:t>Gäfgen v. Germany</w:t>
      </w:r>
      <w:r w:rsidRPr="00E116B6" w:rsidR="00222C50">
        <w:rPr>
          <w:lang w:val="en-GB"/>
        </w:rPr>
        <w:t xml:space="preserve"> [GC], no. 22978/05, §</w:t>
      </w:r>
      <w:r w:rsidRPr="00E116B6" w:rsidR="004E129C">
        <w:rPr>
          <w:rFonts w:cstheme="minorHAnsi"/>
          <w:lang w:val="en-GB"/>
        </w:rPr>
        <w:t>§</w:t>
      </w:r>
      <w:r w:rsidRPr="00E116B6" w:rsidR="001E1626">
        <w:rPr>
          <w:rFonts w:cstheme="minorHAnsi"/>
          <w:lang w:val="en-GB"/>
        </w:rPr>
        <w:t> </w:t>
      </w:r>
      <w:r w:rsidRPr="00E116B6" w:rsidR="004E129C">
        <w:rPr>
          <w:lang w:val="en-GB"/>
        </w:rPr>
        <w:t>166-167 and 173</w:t>
      </w:r>
      <w:r w:rsidRPr="00E116B6" w:rsidR="00222C50">
        <w:rPr>
          <w:lang w:val="en-GB"/>
        </w:rPr>
        <w:t>, ECHR 2010</w:t>
      </w:r>
      <w:r w:rsidRPr="00E116B6" w:rsidR="003914A9">
        <w:rPr>
          <w:lang w:val="en-GB"/>
        </w:rPr>
        <w:t xml:space="preserve">, and </w:t>
      </w:r>
      <w:r w:rsidRPr="00E116B6" w:rsidR="003914A9">
        <w:rPr>
          <w:i/>
        </w:rPr>
        <w:t xml:space="preserve">Ibrahim and Others v. the United Kingdom </w:t>
      </w:r>
      <w:r w:rsidRPr="00E116B6" w:rsidR="003914A9">
        <w:rPr>
          <w:snapToGrid w:val="0"/>
          <w:lang w:val="en-GB"/>
        </w:rPr>
        <w:t xml:space="preserve">[GC], nos. 50541/08 </w:t>
      </w:r>
      <w:r w:rsidRPr="00E116B6" w:rsidR="003914A9">
        <w:rPr>
          <w:lang w:val="en-GB"/>
        </w:rPr>
        <w:t>and 3 others</w:t>
      </w:r>
      <w:r w:rsidRPr="00E116B6" w:rsidR="003914A9">
        <w:rPr>
          <w:snapToGrid w:val="0"/>
          <w:lang w:val="en-GB"/>
        </w:rPr>
        <w:t xml:space="preserve">, § 254, </w:t>
      </w:r>
      <w:r w:rsidRPr="00E116B6" w:rsidR="003914A9">
        <w:rPr>
          <w:lang w:val="en-GB"/>
        </w:rPr>
        <w:t>ECHR</w:t>
      </w:r>
      <w:r w:rsidRPr="00E116B6" w:rsidR="003914A9">
        <w:rPr>
          <w:snapToGrid w:val="0"/>
          <w:lang w:val="en-GB"/>
        </w:rPr>
        <w:t xml:space="preserve"> 2016</w:t>
      </w:r>
      <w:r w:rsidRPr="00E116B6" w:rsidR="00222C50">
        <w:rPr>
          <w:lang w:val="en-GB"/>
        </w:rPr>
        <w:t>). Th</w:t>
      </w:r>
      <w:r w:rsidRPr="00E116B6" w:rsidR="008B127D">
        <w:rPr>
          <w:lang w:val="en-GB"/>
        </w:rPr>
        <w:t>e same rule</w:t>
      </w:r>
      <w:r w:rsidRPr="00E116B6" w:rsidR="00222C50">
        <w:rPr>
          <w:lang w:val="en-GB"/>
        </w:rPr>
        <w:t xml:space="preserve"> also holds true </w:t>
      </w:r>
      <w:r w:rsidRPr="00E116B6" w:rsidR="008B127D">
        <w:rPr>
          <w:lang w:val="en-GB"/>
        </w:rPr>
        <w:t>with respect to</w:t>
      </w:r>
      <w:r w:rsidRPr="00E116B6" w:rsidR="00222C50">
        <w:rPr>
          <w:lang w:val="en-GB"/>
        </w:rPr>
        <w:t xml:space="preserve"> the use of real evidence obtained as a result of </w:t>
      </w:r>
      <w:r w:rsidRPr="00E116B6" w:rsidR="00181961">
        <w:rPr>
          <w:lang w:val="en-GB"/>
        </w:rPr>
        <w:t xml:space="preserve">an act of ill-treatment which </w:t>
      </w:r>
      <w:r w:rsidRPr="00E116B6" w:rsidR="00AC3158">
        <w:rPr>
          <w:lang w:val="en-GB"/>
        </w:rPr>
        <w:t xml:space="preserve">is </w:t>
      </w:r>
      <w:r w:rsidRPr="00E116B6" w:rsidR="00181961">
        <w:rPr>
          <w:lang w:val="en-GB"/>
        </w:rPr>
        <w:t xml:space="preserve">serious enough to be </w:t>
      </w:r>
      <w:r w:rsidRPr="00E116B6" w:rsidR="00692A09">
        <w:rPr>
          <w:lang w:val="en-GB"/>
        </w:rPr>
        <w:t xml:space="preserve">described </w:t>
      </w:r>
      <w:r w:rsidRPr="00E116B6" w:rsidR="00181961">
        <w:rPr>
          <w:lang w:val="en-GB"/>
        </w:rPr>
        <w:t xml:space="preserve">as </w:t>
      </w:r>
      <w:r w:rsidRPr="00E116B6" w:rsidR="00222C50">
        <w:rPr>
          <w:lang w:val="en-GB"/>
        </w:rPr>
        <w:t>torture</w:t>
      </w:r>
      <w:r w:rsidRPr="00E116B6" w:rsidR="00181961">
        <w:rPr>
          <w:lang w:val="en-GB"/>
        </w:rPr>
        <w:t xml:space="preserve"> </w:t>
      </w:r>
      <w:r w:rsidRPr="00E116B6" w:rsidR="00222C50">
        <w:rPr>
          <w:lang w:val="en-GB"/>
        </w:rPr>
        <w:t>(</w:t>
      </w:r>
      <w:r w:rsidRPr="00E116B6" w:rsidR="00494DB4">
        <w:rPr>
          <w:i/>
          <w:lang w:val="en-GB"/>
        </w:rPr>
        <w:t>Gäfgen</w:t>
      </w:r>
      <w:r w:rsidRPr="00E116B6" w:rsidR="00222C50">
        <w:rPr>
          <w:lang w:val="en-GB"/>
        </w:rPr>
        <w:t>,</w:t>
      </w:r>
      <w:r w:rsidRPr="00E116B6" w:rsidR="00494DB4">
        <w:rPr>
          <w:lang w:val="en-GB"/>
        </w:rPr>
        <w:t xml:space="preserve"> cited above,</w:t>
      </w:r>
      <w:r w:rsidRPr="00E116B6" w:rsidR="00222C50">
        <w:rPr>
          <w:lang w:val="en-GB"/>
        </w:rPr>
        <w:t xml:space="preserve"> § 173</w:t>
      </w:r>
      <w:r w:rsidRPr="00E116B6" w:rsidR="00471C05">
        <w:rPr>
          <w:lang w:val="en-GB"/>
        </w:rPr>
        <w:t>).</w:t>
      </w:r>
      <w:r w:rsidRPr="00E116B6" w:rsidR="00AA5C09">
        <w:rPr>
          <w:lang w:val="en-GB"/>
        </w:rPr>
        <w:t xml:space="preserve"> The use in a trial of evidence obtained by torture would amount to a flagrant denial of justice not only where the victim of the treatment contrary to Article 3 is the actual defendant but also even where the pers</w:t>
      </w:r>
      <w:r w:rsidRPr="00E116B6" w:rsidR="006555F4">
        <w:rPr>
          <w:lang w:val="en-GB"/>
        </w:rPr>
        <w:t xml:space="preserve">on </w:t>
      </w:r>
      <w:r w:rsidRPr="00E116B6" w:rsidR="00AA5C09">
        <w:rPr>
          <w:lang w:val="en-GB"/>
        </w:rPr>
        <w:t xml:space="preserve">from whom the evidence had been thus extracted </w:t>
      </w:r>
      <w:r w:rsidRPr="00E116B6" w:rsidR="001B3B14">
        <w:rPr>
          <w:lang w:val="en-GB"/>
        </w:rPr>
        <w:t>is</w:t>
      </w:r>
      <w:r w:rsidRPr="00E116B6" w:rsidR="00AA5C09">
        <w:rPr>
          <w:lang w:val="en-GB"/>
        </w:rPr>
        <w:t xml:space="preserve"> a third party (see </w:t>
      </w:r>
      <w:r w:rsidRPr="00E116B6" w:rsidR="001B3B14">
        <w:rPr>
          <w:i/>
          <w:lang w:val="en-GB"/>
        </w:rPr>
        <w:t>El Haski v.</w:t>
      </w:r>
      <w:r w:rsidRPr="00E116B6" w:rsidR="001E1626">
        <w:rPr>
          <w:i/>
          <w:lang w:val="en-GB"/>
        </w:rPr>
        <w:t> </w:t>
      </w:r>
      <w:r w:rsidRPr="00E116B6" w:rsidR="001B3B14">
        <w:rPr>
          <w:i/>
          <w:lang w:val="en-GB"/>
        </w:rPr>
        <w:t>Belgium</w:t>
      </w:r>
      <w:r w:rsidRPr="00E116B6" w:rsidR="001B3B14">
        <w:rPr>
          <w:lang w:val="en-GB"/>
        </w:rPr>
        <w:t>, no. 649/08</w:t>
      </w:r>
      <w:r w:rsidRPr="00E116B6" w:rsidR="001B3B14">
        <w:rPr>
          <w:snapToGrid w:val="0"/>
          <w:lang w:val="en-GB"/>
        </w:rPr>
        <w:t xml:space="preserve">, § 85, 25 September 2012). </w:t>
      </w:r>
      <w:r w:rsidRPr="00E116B6" w:rsidR="00471C05">
        <w:rPr>
          <w:lang w:val="en-GB"/>
        </w:rPr>
        <w:t>The Court further reiterates that</w:t>
      </w:r>
      <w:r w:rsidRPr="00E116B6" w:rsidR="00AC3158">
        <w:rPr>
          <w:lang w:val="en-GB"/>
        </w:rPr>
        <w:t xml:space="preserve"> e</w:t>
      </w:r>
      <w:r w:rsidRPr="00E116B6" w:rsidR="00386C88">
        <w:rPr>
          <w:lang w:val="en-GB"/>
        </w:rPr>
        <w:t xml:space="preserve">arly access to a lawyer </w:t>
      </w:r>
      <w:r w:rsidRPr="00E116B6" w:rsidR="00AC3158">
        <w:rPr>
          <w:lang w:val="en-GB"/>
        </w:rPr>
        <w:t>is</w:t>
      </w:r>
      <w:r w:rsidRPr="00E116B6" w:rsidR="00386C88">
        <w:rPr>
          <w:lang w:val="en-GB"/>
        </w:rPr>
        <w:t xml:space="preserve"> a procedural guarantee of the privilege against self-incriminati</w:t>
      </w:r>
      <w:r w:rsidRPr="00E116B6" w:rsidR="006555F4">
        <w:rPr>
          <w:lang w:val="en-GB"/>
        </w:rPr>
        <w:t xml:space="preserve">on </w:t>
      </w:r>
      <w:r w:rsidRPr="00E116B6" w:rsidR="00386C88">
        <w:rPr>
          <w:lang w:val="en-GB"/>
        </w:rPr>
        <w:t>and a fundamental s</w:t>
      </w:r>
      <w:r w:rsidRPr="00E116B6" w:rsidR="00AC3158">
        <w:rPr>
          <w:lang w:val="en-GB"/>
        </w:rPr>
        <w:t xml:space="preserve">afeguard against ill-treatment </w:t>
      </w:r>
      <w:r w:rsidRPr="00E116B6" w:rsidR="00471C05">
        <w:rPr>
          <w:lang w:val="en-GB"/>
        </w:rPr>
        <w:t>(</w:t>
      </w:r>
      <w:r w:rsidRPr="00E116B6" w:rsidR="00386C88">
        <w:rPr>
          <w:lang w:val="en-GB"/>
        </w:rPr>
        <w:t>see</w:t>
      </w:r>
      <w:r w:rsidRPr="00E116B6" w:rsidR="00977E73">
        <w:rPr>
          <w:lang w:val="en-GB"/>
        </w:rPr>
        <w:t xml:space="preserve">, </w:t>
      </w:r>
      <w:r w:rsidRPr="00E116B6" w:rsidR="001B3B14">
        <w:rPr>
          <w:lang w:val="en-GB"/>
        </w:rPr>
        <w:t>in a similar vein</w:t>
      </w:r>
      <w:r w:rsidRPr="00E116B6" w:rsidR="00977E73">
        <w:rPr>
          <w:lang w:val="en-GB"/>
        </w:rPr>
        <w:t>,</w:t>
      </w:r>
      <w:r w:rsidRPr="00E116B6" w:rsidR="00386C88">
        <w:rPr>
          <w:lang w:val="en-GB"/>
        </w:rPr>
        <w:t xml:space="preserve"> </w:t>
      </w:r>
      <w:r w:rsidRPr="00E116B6" w:rsidR="00386C88">
        <w:rPr>
          <w:i/>
          <w:lang w:val="en-GB"/>
        </w:rPr>
        <w:t>Salduz v. Turkey</w:t>
      </w:r>
      <w:r w:rsidRPr="00E116B6" w:rsidR="00386C88">
        <w:rPr>
          <w:lang w:val="en-GB"/>
        </w:rPr>
        <w:t xml:space="preserve"> [GC], no. 36391/02, §</w:t>
      </w:r>
      <w:r w:rsidRPr="00E116B6" w:rsidR="00386C88">
        <w:rPr>
          <w:rFonts w:cstheme="minorHAnsi"/>
          <w:lang w:val="en-GB"/>
        </w:rPr>
        <w:t>§</w:t>
      </w:r>
      <w:r w:rsidRPr="00E116B6" w:rsidR="001E1626">
        <w:rPr>
          <w:rFonts w:cstheme="minorHAnsi"/>
          <w:lang w:val="en-GB"/>
        </w:rPr>
        <w:t> </w:t>
      </w:r>
      <w:r w:rsidRPr="00E116B6" w:rsidR="00386C88">
        <w:rPr>
          <w:lang w:val="en-GB"/>
        </w:rPr>
        <w:t>54</w:t>
      </w:r>
      <w:r w:rsidRPr="00E116B6" w:rsidR="00BD03AB">
        <w:rPr>
          <w:lang w:val="en-GB"/>
        </w:rPr>
        <w:t xml:space="preserve"> </w:t>
      </w:r>
      <w:r w:rsidRPr="00E116B6" w:rsidR="00386C88">
        <w:rPr>
          <w:lang w:val="en-GB"/>
        </w:rPr>
        <w:t>and 55, 27</w:t>
      </w:r>
      <w:r w:rsidRPr="00E116B6" w:rsidR="0000400E">
        <w:rPr>
          <w:lang w:val="en-GB"/>
        </w:rPr>
        <w:t> </w:t>
      </w:r>
      <w:r w:rsidRPr="00E116B6" w:rsidR="00386C88">
        <w:rPr>
          <w:lang w:val="en-GB"/>
        </w:rPr>
        <w:t>November 2008</w:t>
      </w:r>
      <w:r w:rsidRPr="00E116B6" w:rsidR="003914A9">
        <w:rPr>
          <w:lang w:val="en-GB"/>
        </w:rPr>
        <w:t xml:space="preserve">, and </w:t>
      </w:r>
      <w:r w:rsidRPr="00E116B6" w:rsidR="003914A9">
        <w:rPr>
          <w:i/>
          <w:lang w:val="en-GB"/>
        </w:rPr>
        <w:t>Ibrahim</w:t>
      </w:r>
      <w:r w:rsidRPr="00E116B6" w:rsidR="003914A9">
        <w:rPr>
          <w:lang w:val="en-GB"/>
        </w:rPr>
        <w:t xml:space="preserve">, cited above, </w:t>
      </w:r>
      <w:r w:rsidRPr="00E116B6" w:rsidR="003914A9">
        <w:rPr>
          <w:rFonts w:cstheme="minorHAnsi"/>
          <w:lang w:val="en-GB"/>
        </w:rPr>
        <w:t>§</w:t>
      </w:r>
      <w:r w:rsidRPr="00E116B6" w:rsidR="003914A9">
        <w:rPr>
          <w:lang w:val="en-GB"/>
        </w:rPr>
        <w:t xml:space="preserve"> 255</w:t>
      </w:r>
      <w:r w:rsidRPr="00E116B6" w:rsidR="00471C05">
        <w:rPr>
          <w:lang w:val="en-GB"/>
        </w:rPr>
        <w:t>).</w:t>
      </w:r>
    </w:p>
    <w:p w:rsidRPr="00E116B6" w:rsidR="00AA2659" w:rsidP="00E116B6" w:rsidRDefault="00BD03AB">
      <w:pPr>
        <w:pStyle w:val="ECHRHeading4"/>
        <w:rPr>
          <w:lang w:val="en-GB"/>
        </w:rPr>
      </w:pPr>
      <w:r w:rsidRPr="00E116B6">
        <w:rPr>
          <w:lang w:val="en-GB"/>
        </w:rPr>
        <w:t>(b)  </w:t>
      </w:r>
      <w:r w:rsidRPr="00E116B6" w:rsidR="00AA2659">
        <w:rPr>
          <w:lang w:val="en-GB"/>
        </w:rPr>
        <w:t>Applicati</w:t>
      </w:r>
      <w:r w:rsidRPr="00E116B6" w:rsidR="006555F4">
        <w:rPr>
          <w:lang w:val="en-GB"/>
        </w:rPr>
        <w:t xml:space="preserve">on </w:t>
      </w:r>
      <w:r w:rsidRPr="00E116B6" w:rsidR="00AA2659">
        <w:rPr>
          <w:lang w:val="en-GB"/>
        </w:rPr>
        <w:t>of th</w:t>
      </w:r>
      <w:r w:rsidRPr="00E116B6" w:rsidR="00692A09">
        <w:rPr>
          <w:lang w:val="en-GB"/>
        </w:rPr>
        <w:t>o</w:t>
      </w:r>
      <w:r w:rsidRPr="00E116B6" w:rsidR="00AA2659">
        <w:rPr>
          <w:lang w:val="en-GB"/>
        </w:rPr>
        <w:t>se principles to the circumstances of the case</w:t>
      </w:r>
    </w:p>
    <w:p w:rsidRPr="00E116B6" w:rsidR="00AA2659" w:rsidP="00E116B6" w:rsidRDefault="007148F4">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140</w:t>
      </w:r>
      <w:r w:rsidRPr="00E116B6">
        <w:rPr>
          <w:lang w:val="en-GB"/>
        </w:rPr>
        <w:fldChar w:fldCharType="end"/>
      </w:r>
      <w:r w:rsidRPr="00E116B6">
        <w:rPr>
          <w:lang w:val="en-GB"/>
        </w:rPr>
        <w:t>.  </w:t>
      </w:r>
      <w:r w:rsidRPr="00E116B6" w:rsidR="00AA2659">
        <w:rPr>
          <w:lang w:val="en-GB"/>
        </w:rPr>
        <w:t xml:space="preserve">The Court has found in the present case that the </w:t>
      </w:r>
      <w:r w:rsidRPr="00E116B6">
        <w:rPr>
          <w:lang w:val="en-GB"/>
        </w:rPr>
        <w:t xml:space="preserve">first </w:t>
      </w:r>
      <w:r w:rsidRPr="00E116B6" w:rsidR="00AA2659">
        <w:rPr>
          <w:lang w:val="en-GB"/>
        </w:rPr>
        <w:t>applicant</w:t>
      </w:r>
      <w:r w:rsidRPr="00E116B6" w:rsidR="00E116B6">
        <w:rPr>
          <w:lang w:val="en-GB"/>
        </w:rPr>
        <w:t>’</w:t>
      </w:r>
      <w:r w:rsidRPr="00E116B6" w:rsidR="00AA2659">
        <w:rPr>
          <w:lang w:val="en-GB"/>
        </w:rPr>
        <w:t xml:space="preserve">s </w:t>
      </w:r>
      <w:r w:rsidRPr="00E116B6" w:rsidR="00767D7A">
        <w:rPr>
          <w:lang w:val="en-GB"/>
        </w:rPr>
        <w:t>initial</w:t>
      </w:r>
      <w:r w:rsidRPr="00E116B6" w:rsidR="00AA2659">
        <w:rPr>
          <w:lang w:val="en-GB"/>
        </w:rPr>
        <w:t xml:space="preserve"> confessi</w:t>
      </w:r>
      <w:r w:rsidRPr="00E116B6" w:rsidR="00692A09">
        <w:rPr>
          <w:lang w:val="en-GB"/>
        </w:rPr>
        <w:t>o</w:t>
      </w:r>
      <w:r w:rsidRPr="00E116B6" w:rsidR="00181961">
        <w:rPr>
          <w:lang w:val="en-GB"/>
        </w:rPr>
        <w:t xml:space="preserve">n, </w:t>
      </w:r>
      <w:r w:rsidRPr="00E116B6" w:rsidR="00975346">
        <w:rPr>
          <w:lang w:val="en-GB"/>
        </w:rPr>
        <w:t>whereby</w:t>
      </w:r>
      <w:r w:rsidRPr="00E116B6" w:rsidR="00181961">
        <w:rPr>
          <w:lang w:val="en-GB"/>
        </w:rPr>
        <w:t xml:space="preserve"> he </w:t>
      </w:r>
      <w:r w:rsidRPr="00E116B6" w:rsidR="00692A09">
        <w:rPr>
          <w:lang w:val="en-GB"/>
        </w:rPr>
        <w:t xml:space="preserve">also </w:t>
      </w:r>
      <w:r w:rsidRPr="00E116B6" w:rsidR="00181961">
        <w:rPr>
          <w:lang w:val="en-GB"/>
        </w:rPr>
        <w:t>implicated the second applicant</w:t>
      </w:r>
      <w:r w:rsidRPr="00E116B6" w:rsidR="009B0498">
        <w:rPr>
          <w:lang w:val="en-GB"/>
        </w:rPr>
        <w:t xml:space="preserve"> in the commissi</w:t>
      </w:r>
      <w:r w:rsidRPr="00E116B6" w:rsidR="006555F4">
        <w:rPr>
          <w:lang w:val="en-GB"/>
        </w:rPr>
        <w:t xml:space="preserve">on </w:t>
      </w:r>
      <w:r w:rsidRPr="00E116B6" w:rsidR="009B0498">
        <w:rPr>
          <w:lang w:val="en-GB"/>
        </w:rPr>
        <w:t>of the crime</w:t>
      </w:r>
      <w:r w:rsidRPr="00E116B6" w:rsidR="00181961">
        <w:rPr>
          <w:lang w:val="en-GB"/>
        </w:rPr>
        <w:t>, w</w:t>
      </w:r>
      <w:r w:rsidRPr="00E116B6" w:rsidR="00EA3A4A">
        <w:rPr>
          <w:lang w:val="en-GB"/>
        </w:rPr>
        <w:t>as</w:t>
      </w:r>
      <w:r w:rsidRPr="00E116B6" w:rsidR="00181961">
        <w:rPr>
          <w:lang w:val="en-GB"/>
        </w:rPr>
        <w:t xml:space="preserve"> </w:t>
      </w:r>
      <w:r w:rsidRPr="00E116B6" w:rsidR="00AA2659">
        <w:rPr>
          <w:lang w:val="en-GB"/>
        </w:rPr>
        <w:t>extracted from him</w:t>
      </w:r>
      <w:r w:rsidRPr="00E116B6" w:rsidR="008B127D">
        <w:rPr>
          <w:lang w:val="en-GB"/>
        </w:rPr>
        <w:t xml:space="preserve"> in the absence of a lawyer and</w:t>
      </w:r>
      <w:r w:rsidRPr="00E116B6" w:rsidR="00AA2659">
        <w:rPr>
          <w:lang w:val="en-GB"/>
        </w:rPr>
        <w:t xml:space="preserve"> by ill-treatment amounting to torture within the meaning of Article 3 of the Conventi</w:t>
      </w:r>
      <w:r w:rsidRPr="00E116B6" w:rsidR="006555F4">
        <w:rPr>
          <w:lang w:val="en-GB"/>
        </w:rPr>
        <w:t xml:space="preserve">on </w:t>
      </w:r>
      <w:r w:rsidRPr="00E116B6" w:rsidR="00AA2659">
        <w:rPr>
          <w:lang w:val="en-GB"/>
        </w:rPr>
        <w:t>(see</w:t>
      </w:r>
      <w:r w:rsidRPr="00E116B6" w:rsidR="00D80104">
        <w:rPr>
          <w:lang w:val="en-GB"/>
        </w:rPr>
        <w:t xml:space="preserve"> paragraph </w:t>
      </w:r>
      <w:r w:rsidRPr="00E116B6" w:rsidR="00D80104">
        <w:rPr>
          <w:lang w:val="en-GB"/>
        </w:rPr>
        <w:fldChar w:fldCharType="begin"/>
      </w:r>
      <w:r w:rsidRPr="00E116B6" w:rsidR="00D80104">
        <w:rPr>
          <w:lang w:val="en-GB"/>
        </w:rPr>
        <w:instrText xml:space="preserve"> REF breachart3 \h </w:instrText>
      </w:r>
      <w:r w:rsidRPr="00E116B6" w:rsidR="00D80104">
        <w:rPr>
          <w:lang w:val="en-GB"/>
        </w:rPr>
      </w:r>
      <w:r w:rsidRPr="00E116B6" w:rsidR="00D80104">
        <w:rPr>
          <w:lang w:val="en-GB"/>
        </w:rPr>
        <w:fldChar w:fldCharType="separate"/>
      </w:r>
      <w:r w:rsidRPr="00E116B6" w:rsidR="00E116B6">
        <w:rPr>
          <w:noProof/>
          <w:lang w:val="en-GB"/>
        </w:rPr>
        <w:t>109</w:t>
      </w:r>
      <w:r w:rsidRPr="00E116B6" w:rsidR="00D80104">
        <w:rPr>
          <w:lang w:val="en-GB"/>
        </w:rPr>
        <w:fldChar w:fldCharType="end"/>
      </w:r>
      <w:r w:rsidRPr="00E116B6" w:rsidR="00D80104">
        <w:rPr>
          <w:lang w:val="en-GB"/>
        </w:rPr>
        <w:t xml:space="preserve"> above</w:t>
      </w:r>
      <w:r w:rsidRPr="00E116B6" w:rsidR="00AA2659">
        <w:rPr>
          <w:lang w:val="en-GB"/>
        </w:rPr>
        <w:t>).</w:t>
      </w:r>
      <w:r w:rsidRPr="00E116B6" w:rsidR="009B0498">
        <w:rPr>
          <w:lang w:val="en-GB"/>
        </w:rPr>
        <w:t xml:space="preserve"> Those statements were eventually removed from the case </w:t>
      </w:r>
      <w:r w:rsidRPr="00E116B6" w:rsidR="00975346">
        <w:rPr>
          <w:lang w:val="en-GB"/>
        </w:rPr>
        <w:t xml:space="preserve">file </w:t>
      </w:r>
      <w:r w:rsidRPr="00E116B6" w:rsidR="009B0498">
        <w:rPr>
          <w:lang w:val="en-GB"/>
        </w:rPr>
        <w:t>by the</w:t>
      </w:r>
      <w:r w:rsidRPr="00E116B6" w:rsidR="00975346">
        <w:rPr>
          <w:lang w:val="en-GB"/>
        </w:rPr>
        <w:t xml:space="preserve"> trial court and were not used to con</w:t>
      </w:r>
      <w:r w:rsidRPr="00E116B6" w:rsidR="005838FE">
        <w:rPr>
          <w:lang w:val="en-GB"/>
        </w:rPr>
        <w:t xml:space="preserve">vict </w:t>
      </w:r>
      <w:r w:rsidRPr="00E116B6" w:rsidR="00975346">
        <w:rPr>
          <w:lang w:val="en-GB"/>
        </w:rPr>
        <w:t>the applicants. However, th</w:t>
      </w:r>
      <w:r w:rsidRPr="00E116B6" w:rsidR="005838FE">
        <w:rPr>
          <w:lang w:val="en-GB"/>
        </w:rPr>
        <w:t xml:space="preserve">at </w:t>
      </w:r>
      <w:r w:rsidRPr="00E116B6" w:rsidR="00975346">
        <w:rPr>
          <w:lang w:val="en-GB"/>
        </w:rPr>
        <w:t xml:space="preserve">fact could not sufficiently </w:t>
      </w:r>
      <w:r w:rsidRPr="00E116B6" w:rsidR="00767D7A">
        <w:rPr>
          <w:lang w:val="en-GB"/>
        </w:rPr>
        <w:t>remedy</w:t>
      </w:r>
      <w:r w:rsidRPr="00E116B6" w:rsidR="00975346">
        <w:rPr>
          <w:lang w:val="en-GB"/>
        </w:rPr>
        <w:t xml:space="preserve"> the </w:t>
      </w:r>
      <w:r w:rsidRPr="00E116B6" w:rsidR="005838FE">
        <w:rPr>
          <w:lang w:val="en-GB"/>
        </w:rPr>
        <w:t xml:space="preserve">problems of </w:t>
      </w:r>
      <w:r w:rsidRPr="00E116B6" w:rsidR="00975346">
        <w:rPr>
          <w:lang w:val="en-GB"/>
        </w:rPr>
        <w:t>criminal proc</w:t>
      </w:r>
      <w:r w:rsidRPr="00E116B6" w:rsidR="00767D7A">
        <w:rPr>
          <w:lang w:val="en-GB"/>
        </w:rPr>
        <w:t xml:space="preserve">eedings which had been </w:t>
      </w:r>
      <w:r w:rsidRPr="00E116B6" w:rsidR="00EA3A4A">
        <w:rPr>
          <w:lang w:val="en-GB"/>
        </w:rPr>
        <w:t xml:space="preserve">undermined </w:t>
      </w:r>
      <w:r w:rsidRPr="00E116B6" w:rsidR="00975346">
        <w:rPr>
          <w:lang w:val="en-GB"/>
        </w:rPr>
        <w:t xml:space="preserve">by the </w:t>
      </w:r>
      <w:r w:rsidRPr="00E116B6" w:rsidR="000B6121">
        <w:rPr>
          <w:lang w:val="en-GB"/>
        </w:rPr>
        <w:t xml:space="preserve">use of </w:t>
      </w:r>
      <w:r w:rsidRPr="00E116B6" w:rsidR="00EA3A4A">
        <w:rPr>
          <w:lang w:val="en-GB"/>
        </w:rPr>
        <w:t>interrogati</w:t>
      </w:r>
      <w:r w:rsidRPr="00E116B6" w:rsidR="006555F4">
        <w:rPr>
          <w:lang w:val="en-GB"/>
        </w:rPr>
        <w:t xml:space="preserve">on </w:t>
      </w:r>
      <w:r w:rsidRPr="00E116B6" w:rsidR="00EA3A4A">
        <w:rPr>
          <w:lang w:val="en-GB"/>
        </w:rPr>
        <w:t xml:space="preserve">methods </w:t>
      </w:r>
      <w:r w:rsidRPr="00E116B6" w:rsidR="000B6121">
        <w:rPr>
          <w:lang w:val="en-GB"/>
        </w:rPr>
        <w:t xml:space="preserve">prohibited under Article 3 </w:t>
      </w:r>
      <w:r w:rsidRPr="00E116B6" w:rsidR="00EA3A4A">
        <w:rPr>
          <w:lang w:val="en-GB"/>
        </w:rPr>
        <w:t xml:space="preserve">and </w:t>
      </w:r>
      <w:r w:rsidRPr="00E116B6" w:rsidR="00975346">
        <w:rPr>
          <w:lang w:val="en-GB"/>
        </w:rPr>
        <w:t xml:space="preserve">which </w:t>
      </w:r>
      <w:r w:rsidRPr="00E116B6" w:rsidR="005838FE">
        <w:rPr>
          <w:lang w:val="en-GB"/>
        </w:rPr>
        <w:t xml:space="preserve">had led to </w:t>
      </w:r>
      <w:r w:rsidRPr="00E116B6" w:rsidR="00975346">
        <w:rPr>
          <w:lang w:val="en-GB"/>
        </w:rPr>
        <w:t xml:space="preserve">the first and most decisive piece </w:t>
      </w:r>
      <w:r w:rsidRPr="00E116B6" w:rsidR="003914A9">
        <w:rPr>
          <w:lang w:val="en-GB"/>
        </w:rPr>
        <w:t xml:space="preserve">of </w:t>
      </w:r>
      <w:r w:rsidRPr="00E116B6" w:rsidR="00975346">
        <w:rPr>
          <w:lang w:val="en-GB"/>
        </w:rPr>
        <w:t>evidence</w:t>
      </w:r>
      <w:r w:rsidRPr="00E116B6" w:rsidR="000B6121">
        <w:rPr>
          <w:lang w:val="en-GB"/>
        </w:rPr>
        <w:t xml:space="preserve"> for the purposes of further investigative actions be</w:t>
      </w:r>
      <w:r w:rsidRPr="00E116B6" w:rsidR="005838FE">
        <w:rPr>
          <w:lang w:val="en-GB"/>
        </w:rPr>
        <w:t>i</w:t>
      </w:r>
      <w:r w:rsidRPr="00E116B6" w:rsidR="000B6121">
        <w:rPr>
          <w:lang w:val="en-GB"/>
        </w:rPr>
        <w:t>n</w:t>
      </w:r>
      <w:r w:rsidRPr="00E116B6" w:rsidR="005838FE">
        <w:rPr>
          <w:lang w:val="en-GB"/>
        </w:rPr>
        <w:t>g</w:t>
      </w:r>
      <w:r w:rsidRPr="00E116B6" w:rsidR="000B6121">
        <w:rPr>
          <w:lang w:val="en-GB"/>
        </w:rPr>
        <w:t xml:space="preserve"> obtained (compare, </w:t>
      </w:r>
      <w:r w:rsidRPr="00E116B6" w:rsidR="000B6121">
        <w:rPr>
          <w:i/>
          <w:lang w:val="en-GB"/>
        </w:rPr>
        <w:t>mutatis mutandis</w:t>
      </w:r>
      <w:r w:rsidRPr="00E116B6" w:rsidR="000B6121">
        <w:rPr>
          <w:lang w:val="en-GB"/>
        </w:rPr>
        <w:t xml:space="preserve">, with </w:t>
      </w:r>
      <w:r w:rsidRPr="00E116B6" w:rsidR="000B6121">
        <w:rPr>
          <w:i/>
          <w:lang w:val="en-GB"/>
        </w:rPr>
        <w:t>Stanimirović v. Serbia</w:t>
      </w:r>
      <w:r w:rsidRPr="00E116B6" w:rsidR="000B6121">
        <w:rPr>
          <w:lang w:val="en-GB"/>
        </w:rPr>
        <w:t>, no. 26088/06</w:t>
      </w:r>
      <w:r w:rsidRPr="00E116B6" w:rsidR="000B6121">
        <w:rPr>
          <w:snapToGrid w:val="0"/>
          <w:szCs w:val="24"/>
          <w:lang w:val="en-GB"/>
        </w:rPr>
        <w:t>, § 52, 18 October 2011</w:t>
      </w:r>
      <w:r w:rsidRPr="00E116B6" w:rsidR="00EA3A4A">
        <w:rPr>
          <w:snapToGrid w:val="0"/>
          <w:szCs w:val="24"/>
          <w:lang w:val="en-GB"/>
        </w:rPr>
        <w:t>,</w:t>
      </w:r>
      <w:r w:rsidRPr="00E116B6" w:rsidR="000B6121">
        <w:rPr>
          <w:snapToGrid w:val="0"/>
          <w:szCs w:val="24"/>
          <w:lang w:val="en-GB"/>
        </w:rPr>
        <w:t xml:space="preserve"> and </w:t>
      </w:r>
      <w:r w:rsidRPr="00E116B6" w:rsidR="000B6121">
        <w:rPr>
          <w:i/>
          <w:lang w:val="en-GB"/>
        </w:rPr>
        <w:t>Shishkin</w:t>
      </w:r>
      <w:r w:rsidRPr="00E116B6" w:rsidR="004613E6">
        <w:rPr>
          <w:i/>
          <w:lang w:val="en-GB"/>
        </w:rPr>
        <w:t xml:space="preserve"> v. </w:t>
      </w:r>
      <w:r w:rsidRPr="00E116B6" w:rsidR="000B6121">
        <w:rPr>
          <w:i/>
          <w:lang w:val="en-GB"/>
        </w:rPr>
        <w:t>Russia</w:t>
      </w:r>
      <w:r w:rsidRPr="00E116B6" w:rsidR="000B6121">
        <w:rPr>
          <w:lang w:val="en-GB"/>
        </w:rPr>
        <w:t>, no. 18280/04</w:t>
      </w:r>
      <w:r w:rsidRPr="00E116B6" w:rsidR="000B6121">
        <w:rPr>
          <w:snapToGrid w:val="0"/>
          <w:szCs w:val="24"/>
          <w:lang w:val="en-GB"/>
        </w:rPr>
        <w:t>, § 150-152, 7 July 2011)</w:t>
      </w:r>
      <w:r w:rsidRPr="00E116B6" w:rsidR="000B6121">
        <w:rPr>
          <w:lang w:val="en-GB"/>
        </w:rPr>
        <w:t xml:space="preserve">. </w:t>
      </w:r>
      <w:r w:rsidRPr="00E116B6" w:rsidR="00767D7A">
        <w:rPr>
          <w:lang w:val="en-GB"/>
        </w:rPr>
        <w:t>Indeed,</w:t>
      </w:r>
      <w:r w:rsidRPr="00E116B6" w:rsidR="000B6121">
        <w:rPr>
          <w:lang w:val="en-GB"/>
        </w:rPr>
        <w:t xml:space="preserve"> prior to the formal removal of th</w:t>
      </w:r>
      <w:r w:rsidRPr="00E116B6" w:rsidR="00EA3A4A">
        <w:rPr>
          <w:lang w:val="en-GB"/>
        </w:rPr>
        <w:t>at</w:t>
      </w:r>
      <w:r w:rsidRPr="00E116B6" w:rsidR="000B6121">
        <w:rPr>
          <w:lang w:val="en-GB"/>
        </w:rPr>
        <w:t xml:space="preserve"> initial confessi</w:t>
      </w:r>
      <w:r w:rsidRPr="00E116B6" w:rsidR="006555F4">
        <w:rPr>
          <w:lang w:val="en-GB"/>
        </w:rPr>
        <w:t xml:space="preserve">on </w:t>
      </w:r>
      <w:r w:rsidRPr="00E116B6" w:rsidR="00767D7A">
        <w:rPr>
          <w:lang w:val="en-GB"/>
        </w:rPr>
        <w:t>from the case file</w:t>
      </w:r>
      <w:r w:rsidRPr="00E116B6" w:rsidR="000B6121">
        <w:rPr>
          <w:lang w:val="en-GB"/>
        </w:rPr>
        <w:t xml:space="preserve">, the investigating authorities had </w:t>
      </w:r>
      <w:r w:rsidRPr="00E116B6" w:rsidR="005838FE">
        <w:rPr>
          <w:lang w:val="en-GB"/>
        </w:rPr>
        <w:t xml:space="preserve">placed </w:t>
      </w:r>
      <w:r w:rsidRPr="00E116B6" w:rsidR="00E35312">
        <w:rPr>
          <w:lang w:val="en-GB"/>
        </w:rPr>
        <w:t xml:space="preserve">heavy </w:t>
      </w:r>
      <w:r w:rsidRPr="00E116B6" w:rsidR="00EA3A4A">
        <w:rPr>
          <w:lang w:val="en-GB"/>
        </w:rPr>
        <w:t>reli</w:t>
      </w:r>
      <w:r w:rsidRPr="00E116B6" w:rsidR="005838FE">
        <w:rPr>
          <w:lang w:val="en-GB"/>
        </w:rPr>
        <w:t xml:space="preserve">ance </w:t>
      </w:r>
      <w:r w:rsidRPr="00E116B6" w:rsidR="006555F4">
        <w:rPr>
          <w:lang w:val="en-GB"/>
        </w:rPr>
        <w:t xml:space="preserve">on </w:t>
      </w:r>
      <w:r w:rsidRPr="00E116B6" w:rsidR="00EA3A4A">
        <w:rPr>
          <w:lang w:val="en-GB"/>
        </w:rPr>
        <w:t xml:space="preserve">it to counter </w:t>
      </w:r>
      <w:r w:rsidRPr="00E116B6" w:rsidR="000B6121">
        <w:rPr>
          <w:lang w:val="en-GB"/>
        </w:rPr>
        <w:t>the applicants</w:t>
      </w:r>
      <w:r w:rsidRPr="00E116B6" w:rsidR="00E116B6">
        <w:rPr>
          <w:lang w:val="en-GB"/>
        </w:rPr>
        <w:t>’</w:t>
      </w:r>
      <w:r w:rsidRPr="00E116B6" w:rsidR="000B6121">
        <w:rPr>
          <w:lang w:val="en-GB"/>
        </w:rPr>
        <w:t xml:space="preserve"> </w:t>
      </w:r>
      <w:r w:rsidRPr="00E116B6" w:rsidR="00767D7A">
        <w:rPr>
          <w:lang w:val="en-GB"/>
        </w:rPr>
        <w:t>numerous attempts to build and develop</w:t>
      </w:r>
      <w:r w:rsidRPr="00E116B6" w:rsidR="00E35312">
        <w:rPr>
          <w:lang w:val="en-GB"/>
        </w:rPr>
        <w:t xml:space="preserve"> their defence strategy. For instance, it was </w:t>
      </w:r>
      <w:r w:rsidRPr="00E116B6" w:rsidR="00767D7A">
        <w:rPr>
          <w:lang w:val="en-GB"/>
        </w:rPr>
        <w:t xml:space="preserve">mainly </w:t>
      </w:r>
      <w:r w:rsidRPr="00E116B6" w:rsidR="006555F4">
        <w:rPr>
          <w:lang w:val="en-GB"/>
        </w:rPr>
        <w:t xml:space="preserve">on </w:t>
      </w:r>
      <w:r w:rsidRPr="00E116B6" w:rsidR="00E35312">
        <w:rPr>
          <w:lang w:val="en-GB"/>
        </w:rPr>
        <w:t>the ground</w:t>
      </w:r>
      <w:r w:rsidRPr="00E116B6" w:rsidR="00EA3A4A">
        <w:rPr>
          <w:lang w:val="en-GB"/>
        </w:rPr>
        <w:t>s</w:t>
      </w:r>
      <w:r w:rsidRPr="00E116B6" w:rsidR="00E35312">
        <w:rPr>
          <w:lang w:val="en-GB"/>
        </w:rPr>
        <w:t xml:space="preserve"> of th</w:t>
      </w:r>
      <w:r w:rsidRPr="00E116B6" w:rsidR="00EA3A4A">
        <w:rPr>
          <w:lang w:val="en-GB"/>
        </w:rPr>
        <w:t xml:space="preserve">at </w:t>
      </w:r>
      <w:r w:rsidRPr="00E116B6" w:rsidR="00E35312">
        <w:rPr>
          <w:lang w:val="en-GB"/>
        </w:rPr>
        <w:t>confessi</w:t>
      </w:r>
      <w:r w:rsidRPr="00E116B6" w:rsidR="006555F4">
        <w:rPr>
          <w:lang w:val="en-GB"/>
        </w:rPr>
        <w:t xml:space="preserve">on </w:t>
      </w:r>
      <w:r w:rsidRPr="00E116B6" w:rsidR="00767D7A">
        <w:rPr>
          <w:lang w:val="en-GB"/>
        </w:rPr>
        <w:t xml:space="preserve">that the investigative authorities </w:t>
      </w:r>
      <w:r w:rsidRPr="00E116B6" w:rsidR="00E35312">
        <w:rPr>
          <w:lang w:val="en-GB"/>
        </w:rPr>
        <w:t>refused to</w:t>
      </w:r>
      <w:r w:rsidRPr="00E116B6" w:rsidR="00767D7A">
        <w:rPr>
          <w:lang w:val="en-GB"/>
        </w:rPr>
        <w:t xml:space="preserve"> undertake actions aimed at verif</w:t>
      </w:r>
      <w:r w:rsidRPr="00E116B6" w:rsidR="00EA3A4A">
        <w:rPr>
          <w:lang w:val="en-GB"/>
        </w:rPr>
        <w:t xml:space="preserve">ying </w:t>
      </w:r>
      <w:r w:rsidRPr="00E116B6" w:rsidR="00E35312">
        <w:rPr>
          <w:lang w:val="en-GB"/>
        </w:rPr>
        <w:t>the first applicant</w:t>
      </w:r>
      <w:r w:rsidRPr="00E116B6" w:rsidR="00E116B6">
        <w:rPr>
          <w:lang w:val="en-GB"/>
        </w:rPr>
        <w:t>’</w:t>
      </w:r>
      <w:r w:rsidRPr="00E116B6" w:rsidR="00E35312">
        <w:rPr>
          <w:lang w:val="en-GB"/>
        </w:rPr>
        <w:t>s alibi (see paragraphs</w:t>
      </w:r>
      <w:r w:rsidRPr="00E116B6" w:rsidR="000D22D4">
        <w:rPr>
          <w:lang w:val="en-GB"/>
        </w:rPr>
        <w:t> </w:t>
      </w:r>
      <w:r w:rsidRPr="00E116B6" w:rsidR="000D22D4">
        <w:rPr>
          <w:lang w:val="en-GB"/>
        </w:rPr>
        <w:fldChar w:fldCharType="begin"/>
      </w:r>
      <w:r w:rsidRPr="00E116B6" w:rsidR="000D22D4">
        <w:rPr>
          <w:lang w:val="en-GB"/>
        </w:rPr>
        <w:instrText xml:space="preserve"> REF investreply \h </w:instrText>
      </w:r>
      <w:r w:rsidRPr="00E116B6" w:rsidR="000D22D4">
        <w:rPr>
          <w:lang w:val="en-GB"/>
        </w:rPr>
      </w:r>
      <w:r w:rsidRPr="00E116B6" w:rsidR="000D22D4">
        <w:rPr>
          <w:lang w:val="en-GB"/>
        </w:rPr>
        <w:fldChar w:fldCharType="separate"/>
      </w:r>
      <w:r w:rsidRPr="00E116B6" w:rsidR="00E116B6">
        <w:rPr>
          <w:noProof/>
          <w:lang w:val="en-GB"/>
        </w:rPr>
        <w:t>28</w:t>
      </w:r>
      <w:r w:rsidRPr="00E116B6" w:rsidR="000D22D4">
        <w:rPr>
          <w:lang w:val="en-GB"/>
        </w:rPr>
        <w:fldChar w:fldCharType="end"/>
      </w:r>
      <w:r w:rsidRPr="00E116B6" w:rsidR="008E637F">
        <w:rPr>
          <w:lang w:val="en-GB"/>
        </w:rPr>
        <w:t xml:space="preserve">, </w:t>
      </w:r>
      <w:r w:rsidRPr="00E116B6" w:rsidR="008E637F">
        <w:rPr>
          <w:lang w:val="en-GB"/>
        </w:rPr>
        <w:fldChar w:fldCharType="begin"/>
      </w:r>
      <w:r w:rsidRPr="00E116B6" w:rsidR="008E637F">
        <w:rPr>
          <w:lang w:val="en-GB"/>
        </w:rPr>
        <w:instrText xml:space="preserve"> REF investreply1 \h </w:instrText>
      </w:r>
      <w:r w:rsidRPr="00E116B6" w:rsidR="008E637F">
        <w:rPr>
          <w:lang w:val="en-GB"/>
        </w:rPr>
      </w:r>
      <w:r w:rsidRPr="00E116B6" w:rsidR="008E637F">
        <w:rPr>
          <w:lang w:val="en-GB"/>
        </w:rPr>
        <w:fldChar w:fldCharType="separate"/>
      </w:r>
      <w:r w:rsidRPr="00E116B6" w:rsidR="00E116B6">
        <w:rPr>
          <w:noProof/>
          <w:lang w:val="en-GB"/>
        </w:rPr>
        <w:t>29</w:t>
      </w:r>
      <w:r w:rsidRPr="00E116B6" w:rsidR="008E637F">
        <w:rPr>
          <w:lang w:val="en-GB"/>
        </w:rPr>
        <w:fldChar w:fldCharType="end"/>
      </w:r>
      <w:r w:rsidRPr="00E116B6" w:rsidR="008E637F">
        <w:rPr>
          <w:lang w:val="en-GB"/>
        </w:rPr>
        <w:t xml:space="preserve">, </w:t>
      </w:r>
      <w:r w:rsidRPr="00E116B6" w:rsidR="00717B4F">
        <w:rPr>
          <w:lang w:val="en-GB"/>
        </w:rPr>
        <w:fldChar w:fldCharType="begin"/>
      </w:r>
      <w:r w:rsidRPr="00E116B6" w:rsidR="00717B4F">
        <w:rPr>
          <w:lang w:val="en-GB"/>
        </w:rPr>
        <w:instrText xml:space="preserve"> REF alibi1 \h </w:instrText>
      </w:r>
      <w:r w:rsidRPr="00E116B6" w:rsidR="00717B4F">
        <w:rPr>
          <w:lang w:val="en-GB"/>
        </w:rPr>
      </w:r>
      <w:r w:rsidRPr="00E116B6" w:rsidR="00717B4F">
        <w:rPr>
          <w:lang w:val="en-GB"/>
        </w:rPr>
        <w:fldChar w:fldCharType="separate"/>
      </w:r>
      <w:r w:rsidRPr="00E116B6" w:rsidR="00E116B6">
        <w:rPr>
          <w:noProof/>
          <w:lang w:val="en-GB"/>
        </w:rPr>
        <w:t>31</w:t>
      </w:r>
      <w:r w:rsidRPr="00E116B6" w:rsidR="00717B4F">
        <w:rPr>
          <w:lang w:val="en-GB"/>
        </w:rPr>
        <w:fldChar w:fldCharType="end"/>
      </w:r>
      <w:r w:rsidRPr="00E116B6" w:rsidR="00717B4F">
        <w:rPr>
          <w:lang w:val="en-GB"/>
        </w:rPr>
        <w:t xml:space="preserve"> </w:t>
      </w:r>
      <w:r w:rsidRPr="00E116B6" w:rsidR="008E637F">
        <w:rPr>
          <w:lang w:val="en-GB"/>
        </w:rPr>
        <w:t xml:space="preserve">and </w:t>
      </w:r>
      <w:r w:rsidRPr="00E116B6" w:rsidR="008E637F">
        <w:rPr>
          <w:lang w:val="en-GB"/>
        </w:rPr>
        <w:fldChar w:fldCharType="begin"/>
      </w:r>
      <w:r w:rsidRPr="00E116B6" w:rsidR="008E637F">
        <w:rPr>
          <w:lang w:val="en-GB"/>
        </w:rPr>
        <w:instrText xml:space="preserve"> REF investreply3 \h </w:instrText>
      </w:r>
      <w:r w:rsidRPr="00E116B6" w:rsidR="008E637F">
        <w:rPr>
          <w:lang w:val="en-GB"/>
        </w:rPr>
      </w:r>
      <w:r w:rsidRPr="00E116B6" w:rsidR="008E637F">
        <w:rPr>
          <w:lang w:val="en-GB"/>
        </w:rPr>
        <w:fldChar w:fldCharType="separate"/>
      </w:r>
      <w:r w:rsidRPr="00E116B6" w:rsidR="00E116B6">
        <w:rPr>
          <w:noProof/>
          <w:lang w:val="en-GB"/>
        </w:rPr>
        <w:t>39</w:t>
      </w:r>
      <w:r w:rsidRPr="00E116B6" w:rsidR="008E637F">
        <w:rPr>
          <w:lang w:val="en-GB"/>
        </w:rPr>
        <w:fldChar w:fldCharType="end"/>
      </w:r>
      <w:r w:rsidRPr="00E116B6" w:rsidR="00E35312">
        <w:rPr>
          <w:lang w:val="en-GB"/>
        </w:rPr>
        <w:t>).</w:t>
      </w:r>
    </w:p>
    <w:bookmarkStart w:name="courtcriticofsecondconfession" w:id="50"/>
    <w:p w:rsidRPr="00E116B6" w:rsidR="00AA2659" w:rsidP="00E116B6" w:rsidRDefault="00AA2659">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141</w:t>
      </w:r>
      <w:r w:rsidRPr="00E116B6">
        <w:rPr>
          <w:lang w:val="en-GB"/>
        </w:rPr>
        <w:fldChar w:fldCharType="end"/>
      </w:r>
      <w:bookmarkEnd w:id="50"/>
      <w:r w:rsidRPr="00E116B6">
        <w:rPr>
          <w:lang w:val="en-GB"/>
        </w:rPr>
        <w:t>.  </w:t>
      </w:r>
      <w:r w:rsidRPr="00E116B6" w:rsidR="00D3270B">
        <w:rPr>
          <w:lang w:val="en-GB"/>
        </w:rPr>
        <w:t>A</w:t>
      </w:r>
      <w:r w:rsidRPr="00E116B6" w:rsidR="002002DC">
        <w:rPr>
          <w:lang w:val="en-GB"/>
        </w:rPr>
        <w:t>fter be</w:t>
      </w:r>
      <w:r w:rsidRPr="00E116B6" w:rsidR="00EA3A4A">
        <w:rPr>
          <w:lang w:val="en-GB"/>
        </w:rPr>
        <w:t>i</w:t>
      </w:r>
      <w:r w:rsidRPr="00E116B6" w:rsidR="002002DC">
        <w:rPr>
          <w:lang w:val="en-GB"/>
        </w:rPr>
        <w:t>n</w:t>
      </w:r>
      <w:r w:rsidRPr="00E116B6" w:rsidR="00EA3A4A">
        <w:rPr>
          <w:lang w:val="en-GB"/>
        </w:rPr>
        <w:t>g</w:t>
      </w:r>
      <w:r w:rsidRPr="00E116B6" w:rsidR="002002DC">
        <w:rPr>
          <w:lang w:val="en-GB"/>
        </w:rPr>
        <w:t xml:space="preserve"> tort</w:t>
      </w:r>
      <w:r w:rsidRPr="00E116B6" w:rsidR="00F8581E">
        <w:rPr>
          <w:lang w:val="en-GB"/>
        </w:rPr>
        <w:t>u</w:t>
      </w:r>
      <w:r w:rsidRPr="00E116B6" w:rsidR="002002DC">
        <w:rPr>
          <w:lang w:val="en-GB"/>
        </w:rPr>
        <w:t xml:space="preserve">red and questioned </w:t>
      </w:r>
      <w:r w:rsidRPr="00E116B6" w:rsidR="00EA3A4A">
        <w:rPr>
          <w:lang w:val="en-GB"/>
        </w:rPr>
        <w:t xml:space="preserve">at </w:t>
      </w:r>
      <w:r w:rsidRPr="00E116B6" w:rsidR="002002DC">
        <w:rPr>
          <w:lang w:val="en-GB"/>
        </w:rPr>
        <w:t>Tbilisi police headquarters, the first applicant was</w:t>
      </w:r>
      <w:r w:rsidRPr="00E116B6" w:rsidR="0059108E">
        <w:rPr>
          <w:lang w:val="en-GB"/>
        </w:rPr>
        <w:t xml:space="preserve"> immediately</w:t>
      </w:r>
      <w:r w:rsidRPr="00E116B6" w:rsidR="002002DC">
        <w:rPr>
          <w:lang w:val="en-GB"/>
        </w:rPr>
        <w:t xml:space="preserve"> taken</w:t>
      </w:r>
      <w:r w:rsidRPr="00E116B6" w:rsidR="0059108E">
        <w:rPr>
          <w:lang w:val="en-GB"/>
        </w:rPr>
        <w:t xml:space="preserve"> by th</w:t>
      </w:r>
      <w:r w:rsidRPr="00E116B6" w:rsidR="00EA3A4A">
        <w:rPr>
          <w:lang w:val="en-GB"/>
        </w:rPr>
        <w:t xml:space="preserve">ose </w:t>
      </w:r>
      <w:r w:rsidRPr="00E116B6" w:rsidR="0059108E">
        <w:rPr>
          <w:lang w:val="en-GB"/>
        </w:rPr>
        <w:t>same officers</w:t>
      </w:r>
      <w:r w:rsidRPr="00E116B6" w:rsidR="002002DC">
        <w:rPr>
          <w:lang w:val="en-GB"/>
        </w:rPr>
        <w:t xml:space="preserve"> </w:t>
      </w:r>
      <w:r w:rsidRPr="00E116B6" w:rsidR="00EA3A4A">
        <w:rPr>
          <w:lang w:val="en-GB"/>
        </w:rPr>
        <w:t xml:space="preserve">to </w:t>
      </w:r>
      <w:r w:rsidRPr="00E116B6" w:rsidR="00767D7A">
        <w:rPr>
          <w:lang w:val="en-GB"/>
        </w:rPr>
        <w:t>a reconstructi</w:t>
      </w:r>
      <w:r w:rsidRPr="00E116B6" w:rsidR="006555F4">
        <w:rPr>
          <w:lang w:val="en-GB"/>
        </w:rPr>
        <w:t xml:space="preserve">on </w:t>
      </w:r>
      <w:r w:rsidRPr="00E116B6" w:rsidR="00767D7A">
        <w:rPr>
          <w:lang w:val="en-GB"/>
        </w:rPr>
        <w:t xml:space="preserve">of the events </w:t>
      </w:r>
      <w:r w:rsidRPr="00E116B6" w:rsidR="00EA3A4A">
        <w:rPr>
          <w:lang w:val="en-GB"/>
        </w:rPr>
        <w:t>at</w:t>
      </w:r>
      <w:r w:rsidRPr="00E116B6" w:rsidR="002002DC">
        <w:rPr>
          <w:lang w:val="en-GB"/>
        </w:rPr>
        <w:t xml:space="preserve"> the scene of the crime, where he repeated his initial confessi</w:t>
      </w:r>
      <w:r w:rsidRPr="00E116B6" w:rsidR="006555F4">
        <w:rPr>
          <w:lang w:val="en-GB"/>
        </w:rPr>
        <w:t xml:space="preserve">on </w:t>
      </w:r>
      <w:r w:rsidRPr="00E116B6" w:rsidR="00EA3A4A">
        <w:rPr>
          <w:lang w:val="en-GB"/>
        </w:rPr>
        <w:t>word for word</w:t>
      </w:r>
      <w:r w:rsidRPr="00E116B6" w:rsidR="002002DC">
        <w:rPr>
          <w:lang w:val="en-GB"/>
        </w:rPr>
        <w:t xml:space="preserve">, including the reference to the </w:t>
      </w:r>
      <w:r w:rsidRPr="00E116B6" w:rsidR="00EA3A4A">
        <w:rPr>
          <w:lang w:val="en-GB"/>
        </w:rPr>
        <w:t xml:space="preserve">involvement </w:t>
      </w:r>
      <w:r w:rsidRPr="00E116B6" w:rsidR="00767D7A">
        <w:rPr>
          <w:lang w:val="en-GB"/>
        </w:rPr>
        <w:t>of the second applicant. Th</w:t>
      </w:r>
      <w:r w:rsidRPr="00E116B6" w:rsidR="00EA3A4A">
        <w:rPr>
          <w:lang w:val="en-GB"/>
        </w:rPr>
        <w:t xml:space="preserve">at </w:t>
      </w:r>
      <w:r w:rsidRPr="00E116B6" w:rsidR="00767D7A">
        <w:rPr>
          <w:lang w:val="en-GB"/>
        </w:rPr>
        <w:t>second confessi</w:t>
      </w:r>
      <w:r w:rsidRPr="00E116B6" w:rsidR="006555F4">
        <w:rPr>
          <w:lang w:val="en-GB"/>
        </w:rPr>
        <w:t xml:space="preserve">on </w:t>
      </w:r>
      <w:r w:rsidRPr="00E116B6" w:rsidR="002002DC">
        <w:rPr>
          <w:lang w:val="en-GB"/>
        </w:rPr>
        <w:t>w</w:t>
      </w:r>
      <w:r w:rsidRPr="00E116B6" w:rsidR="00EA3A4A">
        <w:rPr>
          <w:lang w:val="en-GB"/>
        </w:rPr>
        <w:t>as</w:t>
      </w:r>
      <w:r w:rsidRPr="00E116B6" w:rsidR="002002DC">
        <w:rPr>
          <w:lang w:val="en-GB"/>
        </w:rPr>
        <w:t xml:space="preserve"> then directly </w:t>
      </w:r>
      <w:r w:rsidRPr="00E116B6" w:rsidR="00EA3A4A">
        <w:rPr>
          <w:lang w:val="en-GB"/>
        </w:rPr>
        <w:t xml:space="preserve">used </w:t>
      </w:r>
      <w:r w:rsidRPr="00E116B6" w:rsidR="002002DC">
        <w:rPr>
          <w:lang w:val="en-GB"/>
        </w:rPr>
        <w:t>in the convicti</w:t>
      </w:r>
      <w:r w:rsidRPr="00E116B6" w:rsidR="006555F4">
        <w:rPr>
          <w:lang w:val="en-GB"/>
        </w:rPr>
        <w:t xml:space="preserve">on </w:t>
      </w:r>
      <w:r w:rsidRPr="00E116B6" w:rsidR="002002DC">
        <w:rPr>
          <w:lang w:val="en-GB"/>
        </w:rPr>
        <w:t>as one of the</w:t>
      </w:r>
      <w:r w:rsidRPr="00E116B6" w:rsidR="00D3270B">
        <w:rPr>
          <w:lang w:val="en-GB"/>
        </w:rPr>
        <w:t xml:space="preserve"> major incriminating </w:t>
      </w:r>
      <w:r w:rsidRPr="00E116B6" w:rsidR="00EA3A4A">
        <w:rPr>
          <w:lang w:val="en-GB"/>
        </w:rPr>
        <w:t xml:space="preserve">elements </w:t>
      </w:r>
      <w:r w:rsidRPr="00E116B6" w:rsidR="00D3270B">
        <w:rPr>
          <w:lang w:val="en-GB"/>
        </w:rPr>
        <w:t>against both applicants</w:t>
      </w:r>
      <w:r w:rsidRPr="00E116B6" w:rsidR="00767D7A">
        <w:rPr>
          <w:lang w:val="en-GB"/>
        </w:rPr>
        <w:t xml:space="preserve"> (see paragraphs</w:t>
      </w:r>
      <w:r w:rsidRPr="00E116B6" w:rsidR="00D87529">
        <w:rPr>
          <w:lang w:val="en-GB"/>
        </w:rPr>
        <w:t xml:space="preserve"> </w:t>
      </w:r>
      <w:r w:rsidRPr="00E116B6" w:rsidR="00D87529">
        <w:rPr>
          <w:lang w:val="en-GB"/>
        </w:rPr>
        <w:fldChar w:fldCharType="begin"/>
      </w:r>
      <w:r w:rsidRPr="00E116B6" w:rsidR="00D87529">
        <w:rPr>
          <w:lang w:val="en-GB"/>
        </w:rPr>
        <w:instrText xml:space="preserve"> REF evidences2 \h </w:instrText>
      </w:r>
      <w:r w:rsidRPr="00E116B6" w:rsidR="00D87529">
        <w:rPr>
          <w:lang w:val="en-GB"/>
        </w:rPr>
      </w:r>
      <w:r w:rsidRPr="00E116B6" w:rsidR="00D87529">
        <w:rPr>
          <w:lang w:val="en-GB"/>
        </w:rPr>
        <w:fldChar w:fldCharType="separate"/>
      </w:r>
      <w:r w:rsidRPr="00E116B6" w:rsidR="00E116B6">
        <w:rPr>
          <w:noProof/>
          <w:lang w:val="en-GB"/>
        </w:rPr>
        <w:t>75</w:t>
      </w:r>
      <w:r w:rsidRPr="00E116B6" w:rsidR="00D87529">
        <w:rPr>
          <w:lang w:val="en-GB"/>
        </w:rPr>
        <w:fldChar w:fldCharType="end"/>
      </w:r>
      <w:r w:rsidRPr="00E116B6" w:rsidR="00D87529">
        <w:rPr>
          <w:lang w:val="en-GB"/>
        </w:rPr>
        <w:t xml:space="preserve"> and </w:t>
      </w:r>
      <w:r w:rsidRPr="00E116B6" w:rsidR="00D87529">
        <w:rPr>
          <w:lang w:val="en-GB"/>
        </w:rPr>
        <w:fldChar w:fldCharType="begin"/>
      </w:r>
      <w:r w:rsidRPr="00E116B6" w:rsidR="00D87529">
        <w:rPr>
          <w:lang w:val="en-GB"/>
        </w:rPr>
        <w:instrText xml:space="preserve"> REF evidences3 \h </w:instrText>
      </w:r>
      <w:r w:rsidRPr="00E116B6" w:rsidR="00D87529">
        <w:rPr>
          <w:lang w:val="en-GB"/>
        </w:rPr>
      </w:r>
      <w:r w:rsidRPr="00E116B6" w:rsidR="00D87529">
        <w:rPr>
          <w:lang w:val="en-GB"/>
        </w:rPr>
        <w:fldChar w:fldCharType="separate"/>
      </w:r>
      <w:r w:rsidRPr="00E116B6" w:rsidR="00E116B6">
        <w:rPr>
          <w:noProof/>
          <w:lang w:val="en-GB"/>
        </w:rPr>
        <w:t>76</w:t>
      </w:r>
      <w:r w:rsidRPr="00E116B6" w:rsidR="00D87529">
        <w:rPr>
          <w:lang w:val="en-GB"/>
        </w:rPr>
        <w:fldChar w:fldCharType="end"/>
      </w:r>
      <w:r w:rsidRPr="00E116B6" w:rsidR="00BD03AB">
        <w:rPr>
          <w:lang w:val="en-GB"/>
        </w:rPr>
        <w:t xml:space="preserve"> </w:t>
      </w:r>
      <w:r w:rsidRPr="00E116B6" w:rsidR="00D87529">
        <w:rPr>
          <w:lang w:val="en-GB"/>
        </w:rPr>
        <w:t>above</w:t>
      </w:r>
      <w:r w:rsidRPr="00E116B6" w:rsidR="00767D7A">
        <w:rPr>
          <w:lang w:val="en-GB"/>
        </w:rPr>
        <w:t>)</w:t>
      </w:r>
      <w:r w:rsidRPr="00E116B6" w:rsidR="00D3270B">
        <w:rPr>
          <w:lang w:val="en-GB"/>
        </w:rPr>
        <w:t xml:space="preserve">. </w:t>
      </w:r>
      <w:r w:rsidRPr="00E116B6" w:rsidR="00767D7A">
        <w:rPr>
          <w:lang w:val="en-GB"/>
        </w:rPr>
        <w:t xml:space="preserve">Despite the fact that a public </w:t>
      </w:r>
      <w:r w:rsidRPr="00E116B6" w:rsidR="00047A3F">
        <w:rPr>
          <w:lang w:val="en-GB"/>
        </w:rPr>
        <w:t xml:space="preserve">defence </w:t>
      </w:r>
      <w:r w:rsidRPr="00E116B6" w:rsidR="00767D7A">
        <w:rPr>
          <w:lang w:val="en-GB"/>
        </w:rPr>
        <w:t>lawyer had already been assigned to the first applicant by that time</w:t>
      </w:r>
      <w:r w:rsidRPr="00E116B6" w:rsidR="0059108E">
        <w:rPr>
          <w:lang w:val="en-GB"/>
        </w:rPr>
        <w:t xml:space="preserve"> and attended the reconstruction</w:t>
      </w:r>
      <w:r w:rsidRPr="00E116B6" w:rsidR="00767D7A">
        <w:rPr>
          <w:lang w:val="en-GB"/>
        </w:rPr>
        <w:t>,</w:t>
      </w:r>
      <w:r w:rsidRPr="00E116B6" w:rsidR="00D3270B">
        <w:rPr>
          <w:lang w:val="en-GB"/>
        </w:rPr>
        <w:t xml:space="preserve"> it does not </w:t>
      </w:r>
      <w:r w:rsidRPr="00E116B6" w:rsidR="00EA3A4A">
        <w:rPr>
          <w:lang w:val="en-GB"/>
        </w:rPr>
        <w:t xml:space="preserve">appear </w:t>
      </w:r>
      <w:r w:rsidRPr="00E116B6" w:rsidR="00D3270B">
        <w:rPr>
          <w:lang w:val="en-GB"/>
        </w:rPr>
        <w:t xml:space="preserve">from the case file that the first applicant </w:t>
      </w:r>
      <w:r w:rsidRPr="00E116B6" w:rsidR="00EA3A4A">
        <w:rPr>
          <w:lang w:val="en-GB"/>
        </w:rPr>
        <w:t xml:space="preserve">was </w:t>
      </w:r>
      <w:r w:rsidRPr="00E116B6" w:rsidR="00D3270B">
        <w:rPr>
          <w:lang w:val="en-GB"/>
        </w:rPr>
        <w:t>ever able</w:t>
      </w:r>
      <w:r w:rsidRPr="00E116B6" w:rsidR="007F58C0">
        <w:rPr>
          <w:lang w:val="en-GB"/>
        </w:rPr>
        <w:t xml:space="preserve"> to</w:t>
      </w:r>
      <w:r w:rsidRPr="00E116B6" w:rsidR="00D3270B">
        <w:rPr>
          <w:lang w:val="en-GB"/>
        </w:rPr>
        <w:t xml:space="preserve"> consult that lawyer prior to repeating his confessi</w:t>
      </w:r>
      <w:r w:rsidRPr="00E116B6" w:rsidR="00EA3A4A">
        <w:rPr>
          <w:lang w:val="en-GB"/>
        </w:rPr>
        <w:t>o</w:t>
      </w:r>
      <w:r w:rsidRPr="00E116B6" w:rsidR="00D3270B">
        <w:rPr>
          <w:lang w:val="en-GB"/>
        </w:rPr>
        <w:t>n. Furthermore, the fact that</w:t>
      </w:r>
      <w:r w:rsidRPr="00E116B6" w:rsidR="00462F96">
        <w:rPr>
          <w:lang w:val="en-GB"/>
        </w:rPr>
        <w:t xml:space="preserve"> the first applicant</w:t>
      </w:r>
      <w:r w:rsidRPr="00E116B6" w:rsidR="0059108E">
        <w:rPr>
          <w:lang w:val="en-GB"/>
        </w:rPr>
        <w:t xml:space="preserve"> was made to confirm his statements</w:t>
      </w:r>
      <w:r w:rsidRPr="00E116B6" w:rsidR="00767D7A">
        <w:rPr>
          <w:lang w:val="en-GB"/>
        </w:rPr>
        <w:t xml:space="preserve"> in the presence of the</w:t>
      </w:r>
      <w:r w:rsidRPr="00E116B6" w:rsidR="007F58C0">
        <w:rPr>
          <w:lang w:val="en-GB"/>
        </w:rPr>
        <w:t xml:space="preserve"> very same</w:t>
      </w:r>
      <w:r w:rsidRPr="00E116B6" w:rsidR="00767D7A">
        <w:rPr>
          <w:lang w:val="en-GB"/>
        </w:rPr>
        <w:t xml:space="preserve"> police officers who</w:t>
      </w:r>
      <w:r w:rsidRPr="00E116B6" w:rsidR="007F58C0">
        <w:rPr>
          <w:lang w:val="en-GB"/>
        </w:rPr>
        <w:t>m he had accused of</w:t>
      </w:r>
      <w:r w:rsidRPr="00E116B6" w:rsidR="00767D7A">
        <w:rPr>
          <w:lang w:val="en-GB"/>
        </w:rPr>
        <w:t xml:space="preserve"> torture and</w:t>
      </w:r>
      <w:r w:rsidRPr="00E116B6" w:rsidR="00462F96">
        <w:rPr>
          <w:lang w:val="en-GB"/>
        </w:rPr>
        <w:t xml:space="preserve"> was expected to</w:t>
      </w:r>
      <w:r w:rsidRPr="00E116B6" w:rsidR="0059108E">
        <w:rPr>
          <w:lang w:val="en-GB"/>
        </w:rPr>
        <w:t xml:space="preserve"> return to</w:t>
      </w:r>
      <w:r w:rsidRPr="00E116B6" w:rsidR="00462F96">
        <w:rPr>
          <w:lang w:val="en-GB"/>
        </w:rPr>
        <w:t xml:space="preserve"> Tbilisi police</w:t>
      </w:r>
      <w:r w:rsidRPr="00E116B6" w:rsidR="00767D7A">
        <w:rPr>
          <w:lang w:val="en-GB"/>
        </w:rPr>
        <w:t xml:space="preserve"> headquarters after the reconstruction</w:t>
      </w:r>
      <w:r w:rsidRPr="00E116B6" w:rsidR="00462F96">
        <w:rPr>
          <w:lang w:val="en-GB"/>
        </w:rPr>
        <w:t xml:space="preserve">, </w:t>
      </w:r>
      <w:r w:rsidRPr="00E116B6" w:rsidR="0059108E">
        <w:rPr>
          <w:lang w:val="en-GB"/>
        </w:rPr>
        <w:t>definitely</w:t>
      </w:r>
      <w:r w:rsidRPr="00E116B6" w:rsidR="00462F96">
        <w:rPr>
          <w:lang w:val="en-GB"/>
        </w:rPr>
        <w:t xml:space="preserve"> added to his feeling</w:t>
      </w:r>
      <w:r w:rsidRPr="00E116B6" w:rsidR="0059108E">
        <w:rPr>
          <w:lang w:val="en-GB"/>
        </w:rPr>
        <w:t xml:space="preserve"> of insecurity and helplessness. In </w:t>
      </w:r>
      <w:r w:rsidRPr="00E116B6" w:rsidR="00EA3A4A">
        <w:rPr>
          <w:lang w:val="en-GB"/>
        </w:rPr>
        <w:t>those</w:t>
      </w:r>
      <w:r w:rsidRPr="00E116B6" w:rsidR="00462F96">
        <w:rPr>
          <w:lang w:val="en-GB"/>
        </w:rPr>
        <w:t xml:space="preserve"> circumstances</w:t>
      </w:r>
      <w:r w:rsidRPr="00E116B6" w:rsidR="0059108E">
        <w:rPr>
          <w:lang w:val="en-GB"/>
        </w:rPr>
        <w:t>, the Court considers that</w:t>
      </w:r>
      <w:r w:rsidRPr="00E116B6" w:rsidR="00462F96">
        <w:rPr>
          <w:lang w:val="en-GB"/>
        </w:rPr>
        <w:t xml:space="preserve"> the re</w:t>
      </w:r>
      <w:r w:rsidRPr="00E116B6" w:rsidR="00EA3A4A">
        <w:rPr>
          <w:lang w:val="en-GB"/>
        </w:rPr>
        <w:t xml:space="preserve">statement </w:t>
      </w:r>
      <w:r w:rsidRPr="00E116B6" w:rsidR="00462F96">
        <w:rPr>
          <w:lang w:val="en-GB"/>
        </w:rPr>
        <w:t>of the confessi</w:t>
      </w:r>
      <w:r w:rsidRPr="00E116B6" w:rsidR="006555F4">
        <w:rPr>
          <w:lang w:val="en-GB"/>
        </w:rPr>
        <w:t xml:space="preserve">on </w:t>
      </w:r>
      <w:r w:rsidRPr="00E116B6" w:rsidR="0059108E">
        <w:rPr>
          <w:lang w:val="en-GB"/>
        </w:rPr>
        <w:t>during the reconstructi</w:t>
      </w:r>
      <w:r w:rsidRPr="00E116B6" w:rsidR="006555F4">
        <w:rPr>
          <w:lang w:val="en-GB"/>
        </w:rPr>
        <w:t xml:space="preserve">on </w:t>
      </w:r>
      <w:r w:rsidRPr="00E116B6" w:rsidR="00462F96">
        <w:rPr>
          <w:lang w:val="en-GB"/>
        </w:rPr>
        <w:t>w</w:t>
      </w:r>
      <w:r w:rsidRPr="00E116B6" w:rsidR="0059108E">
        <w:rPr>
          <w:lang w:val="en-GB"/>
        </w:rPr>
        <w:t>as</w:t>
      </w:r>
      <w:r w:rsidRPr="00E116B6" w:rsidR="00462F96">
        <w:rPr>
          <w:lang w:val="en-GB"/>
        </w:rPr>
        <w:t xml:space="preserve"> equally tainted by the </w:t>
      </w:r>
      <w:r w:rsidRPr="00E116B6" w:rsidR="00F8581E">
        <w:rPr>
          <w:lang w:val="en-GB"/>
        </w:rPr>
        <w:t xml:space="preserve">previous </w:t>
      </w:r>
      <w:r w:rsidRPr="00E116B6" w:rsidR="00462F96">
        <w:rPr>
          <w:lang w:val="en-GB"/>
        </w:rPr>
        <w:t xml:space="preserve">acts of torture and could not constitute </w:t>
      </w:r>
      <w:r w:rsidRPr="00E116B6" w:rsidR="0059108E">
        <w:rPr>
          <w:lang w:val="en-GB"/>
        </w:rPr>
        <w:t xml:space="preserve">a </w:t>
      </w:r>
      <w:r w:rsidRPr="00E116B6" w:rsidR="00462F96">
        <w:rPr>
          <w:lang w:val="en-GB"/>
        </w:rPr>
        <w:t>valid piece of evidence</w:t>
      </w:r>
      <w:r w:rsidRPr="00E116B6" w:rsidR="00F8581E">
        <w:rPr>
          <w:lang w:val="en-GB"/>
        </w:rPr>
        <w:t xml:space="preserve">. </w:t>
      </w:r>
      <w:r w:rsidRPr="00E116B6" w:rsidR="007F58C0">
        <w:rPr>
          <w:lang w:val="en-GB"/>
        </w:rPr>
        <w:t>T</w:t>
      </w:r>
      <w:r w:rsidRPr="00E116B6" w:rsidR="00F8581E">
        <w:rPr>
          <w:lang w:val="en-GB"/>
        </w:rPr>
        <w:t xml:space="preserve">he domestic courts should have </w:t>
      </w:r>
      <w:r w:rsidRPr="00E116B6" w:rsidR="007F58C0">
        <w:rPr>
          <w:lang w:val="en-GB"/>
        </w:rPr>
        <w:t>shown</w:t>
      </w:r>
      <w:r w:rsidRPr="00E116B6" w:rsidR="00F8581E">
        <w:rPr>
          <w:lang w:val="en-GB"/>
        </w:rPr>
        <w:t xml:space="preserve"> </w:t>
      </w:r>
      <w:r w:rsidRPr="00E116B6" w:rsidR="00320900">
        <w:rPr>
          <w:lang w:val="en-GB"/>
        </w:rPr>
        <w:t xml:space="preserve">the </w:t>
      </w:r>
      <w:r w:rsidRPr="00E116B6" w:rsidR="00F8581E">
        <w:rPr>
          <w:lang w:val="en-GB"/>
        </w:rPr>
        <w:t xml:space="preserve">utmost care </w:t>
      </w:r>
      <w:r w:rsidRPr="00E116B6" w:rsidR="007F58C0">
        <w:rPr>
          <w:lang w:val="en-GB"/>
        </w:rPr>
        <w:t xml:space="preserve">by subjecting those repeated statements to the very strict scrutiny prior to accepting them </w:t>
      </w:r>
      <w:r w:rsidRPr="00E116B6" w:rsidR="00462F96">
        <w:rPr>
          <w:lang w:val="en-GB"/>
        </w:rPr>
        <w:t>(compare with</w:t>
      </w:r>
      <w:r w:rsidRPr="00E116B6" w:rsidR="00612A6B">
        <w:rPr>
          <w:lang w:val="en-GB"/>
        </w:rPr>
        <w:t xml:space="preserve">, </w:t>
      </w:r>
      <w:r w:rsidRPr="00E116B6" w:rsidR="00612A6B">
        <w:rPr>
          <w:i/>
          <w:lang w:val="en-GB"/>
        </w:rPr>
        <w:t>mutatis mutandis</w:t>
      </w:r>
      <w:r w:rsidRPr="00E116B6" w:rsidR="00612A6B">
        <w:rPr>
          <w:lang w:val="en-GB"/>
        </w:rPr>
        <w:t>,</w:t>
      </w:r>
      <w:r w:rsidRPr="00E116B6" w:rsidR="00462F96">
        <w:rPr>
          <w:lang w:val="en-GB"/>
        </w:rPr>
        <w:t xml:space="preserve"> </w:t>
      </w:r>
      <w:r w:rsidRPr="00E116B6" w:rsidR="00462F96">
        <w:rPr>
          <w:i/>
          <w:lang w:val="en-GB"/>
        </w:rPr>
        <w:t>Harutyunyan</w:t>
      </w:r>
      <w:r w:rsidRPr="00E116B6" w:rsidR="009F0DE4">
        <w:rPr>
          <w:lang w:val="en-GB"/>
        </w:rPr>
        <w:t>, cited above</w:t>
      </w:r>
      <w:r w:rsidRPr="00E116B6" w:rsidR="00612A6B">
        <w:rPr>
          <w:lang w:val="en-GB"/>
        </w:rPr>
        <w:t xml:space="preserve">, </w:t>
      </w:r>
      <w:r w:rsidRPr="00E116B6" w:rsidR="00612A6B">
        <w:rPr>
          <w:rFonts w:cstheme="minorHAnsi"/>
          <w:lang w:val="en-GB"/>
        </w:rPr>
        <w:t>§</w:t>
      </w:r>
      <w:r w:rsidRPr="00E116B6" w:rsidR="00612A6B">
        <w:rPr>
          <w:lang w:val="en-GB"/>
        </w:rPr>
        <w:t xml:space="preserve"> 65</w:t>
      </w:r>
      <w:r w:rsidRPr="00E116B6" w:rsidR="00320900">
        <w:rPr>
          <w:lang w:val="en-GB"/>
        </w:rPr>
        <w:t>;</w:t>
      </w:r>
      <w:r w:rsidRPr="00E116B6" w:rsidR="00462F96">
        <w:rPr>
          <w:lang w:val="en-GB"/>
        </w:rPr>
        <w:t xml:space="preserve"> </w:t>
      </w:r>
      <w:r w:rsidRPr="00E116B6" w:rsidR="00462F96">
        <w:rPr>
          <w:i/>
          <w:lang w:val="en-GB"/>
        </w:rPr>
        <w:t>Hajnal v.</w:t>
      </w:r>
      <w:r w:rsidRPr="00E116B6" w:rsidR="0000400E">
        <w:rPr>
          <w:i/>
          <w:lang w:val="en-GB"/>
        </w:rPr>
        <w:t> </w:t>
      </w:r>
      <w:r w:rsidRPr="00E116B6" w:rsidR="00462F96">
        <w:rPr>
          <w:i/>
          <w:lang w:val="en-GB"/>
        </w:rPr>
        <w:t>Serbia</w:t>
      </w:r>
      <w:r w:rsidRPr="00E116B6" w:rsidR="00462F96">
        <w:rPr>
          <w:lang w:val="en-GB"/>
        </w:rPr>
        <w:t>, no. 36937/06</w:t>
      </w:r>
      <w:r w:rsidRPr="00E116B6" w:rsidR="00462F96">
        <w:rPr>
          <w:snapToGrid w:val="0"/>
          <w:szCs w:val="24"/>
          <w:lang w:val="en-GB"/>
        </w:rPr>
        <w:t>, § 114, 19 June 2012;</w:t>
      </w:r>
      <w:r w:rsidRPr="00E116B6" w:rsidR="00462F96">
        <w:rPr>
          <w:lang w:val="en-GB"/>
        </w:rPr>
        <w:t xml:space="preserve"> </w:t>
      </w:r>
      <w:r w:rsidRPr="00E116B6" w:rsidR="00462F96">
        <w:rPr>
          <w:i/>
          <w:lang w:val="en-GB"/>
        </w:rPr>
        <w:t>Stanimirović</w:t>
      </w:r>
      <w:r w:rsidRPr="00E116B6" w:rsidR="00462F96">
        <w:rPr>
          <w:lang w:val="en-GB"/>
        </w:rPr>
        <w:t xml:space="preserve">, cited above, </w:t>
      </w:r>
      <w:r w:rsidRPr="00E116B6" w:rsidR="00462F96">
        <w:rPr>
          <w:rFonts w:cstheme="minorHAnsi"/>
          <w:lang w:val="en-GB"/>
        </w:rPr>
        <w:t>§</w:t>
      </w:r>
      <w:r w:rsidRPr="00E116B6" w:rsidR="0000400E">
        <w:rPr>
          <w:rFonts w:cstheme="minorHAnsi"/>
          <w:lang w:val="en-GB"/>
        </w:rPr>
        <w:t> </w:t>
      </w:r>
      <w:r w:rsidRPr="00E116B6" w:rsidR="00462F96">
        <w:rPr>
          <w:lang w:val="en-GB"/>
        </w:rPr>
        <w:t>52, and also</w:t>
      </w:r>
      <w:r w:rsidRPr="00E116B6" w:rsidR="00612A6B">
        <w:rPr>
          <w:lang w:val="en-GB"/>
        </w:rPr>
        <w:t xml:space="preserve"> </w:t>
      </w:r>
      <w:r w:rsidRPr="00E116B6" w:rsidR="00462F96">
        <w:rPr>
          <w:i/>
          <w:lang w:val="en-GB"/>
        </w:rPr>
        <w:t>Nechiporuk and Yonkalo</w:t>
      </w:r>
      <w:r w:rsidRPr="00E116B6" w:rsidR="00462F96">
        <w:rPr>
          <w:lang w:val="en-GB"/>
        </w:rPr>
        <w:t xml:space="preserve">, cited above, </w:t>
      </w:r>
      <w:r w:rsidRPr="00E116B6" w:rsidR="00462F96">
        <w:rPr>
          <w:rFonts w:cstheme="minorHAnsi"/>
          <w:lang w:val="en-GB"/>
        </w:rPr>
        <w:t>§</w:t>
      </w:r>
      <w:r w:rsidRPr="00E116B6" w:rsidR="00462F96">
        <w:rPr>
          <w:lang w:val="en-GB"/>
        </w:rPr>
        <w:t xml:space="preserve"> 265).</w:t>
      </w:r>
      <w:r w:rsidRPr="00E116B6" w:rsidR="00F8581E">
        <w:rPr>
          <w:lang w:val="en-GB"/>
        </w:rPr>
        <w:t xml:space="preserve"> I</w:t>
      </w:r>
      <w:r w:rsidRPr="00E116B6" w:rsidR="00BD48E4">
        <w:rPr>
          <w:lang w:val="en-GB"/>
        </w:rPr>
        <w:t>n</w:t>
      </w:r>
      <w:r w:rsidRPr="00E116B6" w:rsidR="00F8581E">
        <w:rPr>
          <w:lang w:val="en-GB"/>
        </w:rPr>
        <w:t xml:space="preserve"> other words, it cannot be said that there was a break in the causal chain leading from the prohibited method of the first questioning </w:t>
      </w:r>
      <w:r w:rsidRPr="00E116B6" w:rsidR="00320900">
        <w:rPr>
          <w:lang w:val="en-GB"/>
        </w:rPr>
        <w:t>at</w:t>
      </w:r>
      <w:r w:rsidRPr="00E116B6" w:rsidR="00F8581E">
        <w:rPr>
          <w:lang w:val="en-GB"/>
        </w:rPr>
        <w:t xml:space="preserve"> Tbilisi police headquarters to the reiterati</w:t>
      </w:r>
      <w:r w:rsidRPr="00E116B6" w:rsidR="006555F4">
        <w:rPr>
          <w:lang w:val="en-GB"/>
        </w:rPr>
        <w:t xml:space="preserve">on </w:t>
      </w:r>
      <w:r w:rsidRPr="00E116B6" w:rsidR="0059108E">
        <w:rPr>
          <w:lang w:val="en-GB"/>
        </w:rPr>
        <w:t xml:space="preserve">by the first applicant of his </w:t>
      </w:r>
      <w:r w:rsidRPr="00E116B6" w:rsidR="00F8581E">
        <w:rPr>
          <w:lang w:val="en-GB"/>
        </w:rPr>
        <w:t>confessi</w:t>
      </w:r>
      <w:r w:rsidRPr="00E116B6" w:rsidR="006555F4">
        <w:rPr>
          <w:lang w:val="en-GB"/>
        </w:rPr>
        <w:t xml:space="preserve">on </w:t>
      </w:r>
      <w:r w:rsidRPr="00E116B6" w:rsidR="00F8581E">
        <w:rPr>
          <w:lang w:val="en-GB"/>
        </w:rPr>
        <w:t xml:space="preserve">at the scene of the crime which was </w:t>
      </w:r>
      <w:r w:rsidRPr="00E116B6" w:rsidR="0059108E">
        <w:rPr>
          <w:lang w:val="en-GB"/>
        </w:rPr>
        <w:t>then directly</w:t>
      </w:r>
      <w:r w:rsidRPr="00E116B6" w:rsidR="00F8581E">
        <w:rPr>
          <w:lang w:val="en-GB"/>
        </w:rPr>
        <w:t xml:space="preserve"> used to secure </w:t>
      </w:r>
      <w:r w:rsidRPr="00E116B6" w:rsidR="00320900">
        <w:rPr>
          <w:lang w:val="en-GB"/>
        </w:rPr>
        <w:t xml:space="preserve">the </w:t>
      </w:r>
      <w:r w:rsidRPr="00E116B6" w:rsidR="00F8581E">
        <w:rPr>
          <w:lang w:val="en-GB"/>
        </w:rPr>
        <w:t>convicti</w:t>
      </w:r>
      <w:r w:rsidRPr="00E116B6" w:rsidR="006555F4">
        <w:rPr>
          <w:lang w:val="en-GB"/>
        </w:rPr>
        <w:t xml:space="preserve">on </w:t>
      </w:r>
      <w:r w:rsidRPr="00E116B6" w:rsidR="00320900">
        <w:rPr>
          <w:lang w:val="en-GB"/>
        </w:rPr>
        <w:t xml:space="preserve">of the applicants </w:t>
      </w:r>
      <w:r w:rsidRPr="00E116B6" w:rsidR="00F8581E">
        <w:rPr>
          <w:lang w:val="en-GB"/>
        </w:rPr>
        <w:t xml:space="preserve">and </w:t>
      </w:r>
      <w:r w:rsidRPr="00E116B6" w:rsidR="00320900">
        <w:rPr>
          <w:lang w:val="en-GB"/>
        </w:rPr>
        <w:t xml:space="preserve">provided a base for their </w:t>
      </w:r>
      <w:r w:rsidRPr="00E116B6" w:rsidR="00F8581E">
        <w:rPr>
          <w:lang w:val="en-GB"/>
        </w:rPr>
        <w:t>sentence (</w:t>
      </w:r>
      <w:r w:rsidRPr="00E116B6" w:rsidR="00612A6B">
        <w:rPr>
          <w:lang w:val="en-GB"/>
        </w:rPr>
        <w:t xml:space="preserve">compare and </w:t>
      </w:r>
      <w:r w:rsidRPr="00E116B6" w:rsidR="00F8581E">
        <w:rPr>
          <w:lang w:val="en-GB"/>
        </w:rPr>
        <w:t xml:space="preserve">contrast with </w:t>
      </w:r>
      <w:r w:rsidRPr="00E116B6" w:rsidR="00BD48E4">
        <w:rPr>
          <w:i/>
          <w:lang w:val="en-GB"/>
        </w:rPr>
        <w:t>Gäfgen</w:t>
      </w:r>
      <w:r w:rsidRPr="00E116B6" w:rsidR="00BD48E4">
        <w:rPr>
          <w:lang w:val="en-GB"/>
        </w:rPr>
        <w:t xml:space="preserve">, cited above, </w:t>
      </w:r>
      <w:r w:rsidRPr="00E116B6" w:rsidR="00BD48E4">
        <w:rPr>
          <w:rFonts w:cstheme="minorHAnsi"/>
          <w:lang w:val="en-GB"/>
        </w:rPr>
        <w:t>§</w:t>
      </w:r>
      <w:r w:rsidRPr="00E116B6" w:rsidR="00BD48E4">
        <w:rPr>
          <w:lang w:val="en-GB"/>
        </w:rPr>
        <w:t xml:space="preserve"> 180).</w:t>
      </w:r>
    </w:p>
    <w:p w:rsidRPr="00E116B6" w:rsidR="00885B41" w:rsidP="00E116B6" w:rsidRDefault="00462F96">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142</w:t>
      </w:r>
      <w:r w:rsidRPr="00E116B6">
        <w:rPr>
          <w:lang w:val="en-GB"/>
        </w:rPr>
        <w:fldChar w:fldCharType="end"/>
      </w:r>
      <w:r w:rsidRPr="00E116B6">
        <w:rPr>
          <w:lang w:val="en-GB"/>
        </w:rPr>
        <w:t>.  </w:t>
      </w:r>
      <w:r w:rsidRPr="00E116B6" w:rsidR="00BC5B3C">
        <w:rPr>
          <w:lang w:val="en-GB"/>
        </w:rPr>
        <w:t>The</w:t>
      </w:r>
      <w:r w:rsidRPr="00E116B6" w:rsidR="007D164D">
        <w:rPr>
          <w:lang w:val="en-GB"/>
        </w:rPr>
        <w:t xml:space="preserve"> above findings are </w:t>
      </w:r>
      <w:r w:rsidRPr="00E116B6" w:rsidR="00320900">
        <w:rPr>
          <w:lang w:val="en-GB"/>
        </w:rPr>
        <w:t xml:space="preserve">of themselves </w:t>
      </w:r>
      <w:r w:rsidRPr="00E116B6" w:rsidR="007D164D">
        <w:rPr>
          <w:lang w:val="en-GB"/>
        </w:rPr>
        <w:t xml:space="preserve">sufficient for the Court to </w:t>
      </w:r>
      <w:r w:rsidRPr="00E116B6" w:rsidR="001029CF">
        <w:rPr>
          <w:lang w:val="en-GB"/>
        </w:rPr>
        <w:t>conclude</w:t>
      </w:r>
      <w:r w:rsidRPr="00E116B6" w:rsidR="007D164D">
        <w:rPr>
          <w:lang w:val="en-GB"/>
        </w:rPr>
        <w:t xml:space="preserve"> that the </w:t>
      </w:r>
      <w:r w:rsidRPr="00E116B6" w:rsidR="00047A3F">
        <w:rPr>
          <w:lang w:val="en-GB"/>
        </w:rPr>
        <w:t>police</w:t>
      </w:r>
      <w:r w:rsidRPr="00E116B6" w:rsidR="00E116B6">
        <w:rPr>
          <w:lang w:val="en-GB"/>
        </w:rPr>
        <w:t>’</w:t>
      </w:r>
      <w:r w:rsidRPr="00E116B6" w:rsidR="00047A3F">
        <w:rPr>
          <w:lang w:val="en-GB"/>
        </w:rPr>
        <w:t xml:space="preserve">s use of </w:t>
      </w:r>
      <w:r w:rsidRPr="00E116B6" w:rsidR="00320900">
        <w:rPr>
          <w:lang w:val="en-GB"/>
        </w:rPr>
        <w:t xml:space="preserve">torture </w:t>
      </w:r>
      <w:r w:rsidRPr="00E116B6" w:rsidR="006555F4">
        <w:rPr>
          <w:lang w:val="en-GB"/>
        </w:rPr>
        <w:t xml:space="preserve">on </w:t>
      </w:r>
      <w:r w:rsidRPr="00E116B6" w:rsidR="00320900">
        <w:rPr>
          <w:lang w:val="en-GB"/>
        </w:rPr>
        <w:t xml:space="preserve">the </w:t>
      </w:r>
      <w:r w:rsidRPr="00E116B6" w:rsidR="007D164D">
        <w:rPr>
          <w:lang w:val="en-GB"/>
        </w:rPr>
        <w:t xml:space="preserve">first applicant during the first questioning in the absence of a lawyer had an irretrievably prejudicial impact </w:t>
      </w:r>
      <w:r w:rsidRPr="00E116B6" w:rsidR="006555F4">
        <w:rPr>
          <w:lang w:val="en-GB"/>
        </w:rPr>
        <w:t xml:space="preserve">on </w:t>
      </w:r>
      <w:r w:rsidRPr="00E116B6" w:rsidR="007D164D">
        <w:rPr>
          <w:lang w:val="en-GB"/>
        </w:rPr>
        <w:t xml:space="preserve">the outcome of the criminal trial, and rendered the proceedings against both applicants unfair </w:t>
      </w:r>
      <w:r w:rsidRPr="00E116B6" w:rsidR="001029CF">
        <w:rPr>
          <w:lang w:val="en-GB"/>
        </w:rPr>
        <w:t xml:space="preserve">as a whole </w:t>
      </w:r>
      <w:r w:rsidRPr="00E116B6" w:rsidR="007D164D">
        <w:rPr>
          <w:lang w:val="en-GB"/>
        </w:rPr>
        <w:t>(</w:t>
      </w:r>
      <w:r w:rsidRPr="00E116B6" w:rsidR="00612A6B">
        <w:rPr>
          <w:lang w:val="en-GB"/>
        </w:rPr>
        <w:t xml:space="preserve">compare with </w:t>
      </w:r>
      <w:r w:rsidRPr="00E116B6" w:rsidR="00A75C44">
        <w:rPr>
          <w:i/>
          <w:snapToGrid w:val="0"/>
          <w:lang w:val="en-GB"/>
        </w:rPr>
        <w:t>Kaçiu and Kotorri</w:t>
      </w:r>
      <w:r w:rsidRPr="00E116B6" w:rsidR="00A75C44">
        <w:rPr>
          <w:snapToGrid w:val="0"/>
          <w:lang w:val="en-GB"/>
        </w:rPr>
        <w:t xml:space="preserve"> </w:t>
      </w:r>
      <w:r w:rsidRPr="00E116B6" w:rsidR="004613E6">
        <w:rPr>
          <w:i/>
          <w:snapToGrid w:val="0"/>
          <w:lang w:val="en-GB"/>
        </w:rPr>
        <w:t>v. </w:t>
      </w:r>
      <w:r w:rsidRPr="00E116B6" w:rsidR="00A75C44">
        <w:rPr>
          <w:i/>
          <w:snapToGrid w:val="0"/>
          <w:lang w:val="en-GB"/>
        </w:rPr>
        <w:t>Albania</w:t>
      </w:r>
      <w:r w:rsidRPr="00E116B6" w:rsidR="00A75C44">
        <w:rPr>
          <w:snapToGrid w:val="0"/>
          <w:lang w:val="en-GB"/>
        </w:rPr>
        <w:t xml:space="preserve">, nos. 33192/07 and 33194/07, </w:t>
      </w:r>
      <w:r w:rsidRPr="00E116B6" w:rsidR="00612A6B">
        <w:rPr>
          <w:rFonts w:cstheme="minorHAnsi"/>
          <w:snapToGrid w:val="0"/>
          <w:lang w:val="en-GB"/>
        </w:rPr>
        <w:t>§</w:t>
      </w:r>
      <w:r w:rsidRPr="00E116B6" w:rsidR="00A75C44">
        <w:rPr>
          <w:snapToGrid w:val="0"/>
          <w:lang w:val="en-GB"/>
        </w:rPr>
        <w:t>§ 118, 122 and 128-29, 25 June 2013, for</w:t>
      </w:r>
      <w:r w:rsidRPr="00E116B6" w:rsidR="00BC5B3C">
        <w:rPr>
          <w:snapToGrid w:val="0"/>
          <w:lang w:val="en-GB"/>
        </w:rPr>
        <w:t xml:space="preserve"> a similar situation</w:t>
      </w:r>
      <w:r w:rsidRPr="00E116B6" w:rsidR="001029CF">
        <w:rPr>
          <w:snapToGrid w:val="0"/>
          <w:lang w:val="en-GB"/>
        </w:rPr>
        <w:t>,</w:t>
      </w:r>
      <w:r w:rsidRPr="00E116B6" w:rsidR="00BC5B3C">
        <w:rPr>
          <w:snapToGrid w:val="0"/>
          <w:lang w:val="en-GB"/>
        </w:rPr>
        <w:t xml:space="preserve"> where</w:t>
      </w:r>
      <w:r w:rsidRPr="00E116B6" w:rsidR="00A75C44">
        <w:rPr>
          <w:snapToGrid w:val="0"/>
          <w:lang w:val="en-GB"/>
        </w:rPr>
        <w:t xml:space="preserve"> </w:t>
      </w:r>
      <w:r w:rsidRPr="00E116B6" w:rsidR="00BC5B3C">
        <w:rPr>
          <w:snapToGrid w:val="0"/>
          <w:lang w:val="en-GB"/>
        </w:rPr>
        <w:t xml:space="preserve">the </w:t>
      </w:r>
      <w:r w:rsidRPr="00E116B6" w:rsidR="00047A3F">
        <w:rPr>
          <w:snapToGrid w:val="0"/>
          <w:lang w:val="en-GB"/>
        </w:rPr>
        <w:t xml:space="preserve">use of torture to </w:t>
      </w:r>
      <w:r w:rsidRPr="00E116B6" w:rsidR="00BC5B3C">
        <w:rPr>
          <w:snapToGrid w:val="0"/>
          <w:lang w:val="en-GB"/>
        </w:rPr>
        <w:t xml:space="preserve">extract incriminating statements against the applicant from a co-accused rendered the proceedings against the </w:t>
      </w:r>
      <w:r w:rsidRPr="00E116B6" w:rsidR="00320900">
        <w:rPr>
          <w:snapToGrid w:val="0"/>
          <w:lang w:val="en-GB"/>
        </w:rPr>
        <w:t>applicant</w:t>
      </w:r>
      <w:r w:rsidRPr="00E116B6" w:rsidR="00BC5B3C">
        <w:rPr>
          <w:snapToGrid w:val="0"/>
          <w:lang w:val="en-GB"/>
        </w:rPr>
        <w:t xml:space="preserve"> unfair</w:t>
      </w:r>
      <w:r w:rsidRPr="00E116B6" w:rsidR="007D164D">
        <w:rPr>
          <w:lang w:val="en-GB"/>
        </w:rPr>
        <w:t xml:space="preserve">). However, the Court </w:t>
      </w:r>
      <w:r w:rsidRPr="00E116B6" w:rsidR="001029CF">
        <w:rPr>
          <w:lang w:val="en-GB"/>
        </w:rPr>
        <w:t xml:space="preserve">still wishes to address </w:t>
      </w:r>
      <w:r w:rsidRPr="00E116B6" w:rsidR="001B7EC9">
        <w:rPr>
          <w:lang w:val="en-GB"/>
        </w:rPr>
        <w:t xml:space="preserve">the statements of the victim, the member of parliament, which were also used by the domestic courts </w:t>
      </w:r>
      <w:r w:rsidRPr="00E116B6" w:rsidR="001029CF">
        <w:rPr>
          <w:lang w:val="en-GB"/>
        </w:rPr>
        <w:t>to secure the applicants</w:t>
      </w:r>
      <w:r w:rsidRPr="00E116B6" w:rsidR="00E116B6">
        <w:rPr>
          <w:lang w:val="en-GB"/>
        </w:rPr>
        <w:t>’</w:t>
      </w:r>
      <w:r w:rsidRPr="00E116B6" w:rsidR="0046550C">
        <w:rPr>
          <w:lang w:val="en-GB"/>
        </w:rPr>
        <w:t> </w:t>
      </w:r>
      <w:r w:rsidRPr="00E116B6" w:rsidR="001029CF">
        <w:rPr>
          <w:lang w:val="en-GB"/>
        </w:rPr>
        <w:t>convicti</w:t>
      </w:r>
      <w:r w:rsidRPr="00E116B6" w:rsidR="006555F4">
        <w:rPr>
          <w:lang w:val="en-GB"/>
        </w:rPr>
        <w:t xml:space="preserve">on </w:t>
      </w:r>
      <w:r w:rsidRPr="00E116B6" w:rsidR="0059108E">
        <w:rPr>
          <w:lang w:val="en-GB"/>
        </w:rPr>
        <w:t>(see paragraph</w:t>
      </w:r>
      <w:r w:rsidRPr="00E116B6" w:rsidR="000D22D4">
        <w:rPr>
          <w:lang w:val="en-GB"/>
        </w:rPr>
        <w:t>s</w:t>
      </w:r>
      <w:r w:rsidRPr="00E116B6" w:rsidR="003864A3">
        <w:rPr>
          <w:lang w:val="en-GB"/>
        </w:rPr>
        <w:t xml:space="preserve"> </w:t>
      </w:r>
      <w:r w:rsidRPr="00E116B6" w:rsidR="008E637F">
        <w:rPr>
          <w:lang w:val="en-GB"/>
        </w:rPr>
        <w:fldChar w:fldCharType="begin"/>
      </w:r>
      <w:r w:rsidRPr="00E116B6" w:rsidR="008E637F">
        <w:rPr>
          <w:lang w:val="en-GB"/>
        </w:rPr>
        <w:instrText xml:space="preserve"> REF evidences2 \h </w:instrText>
      </w:r>
      <w:r w:rsidRPr="00E116B6" w:rsidR="008E637F">
        <w:rPr>
          <w:lang w:val="en-GB"/>
        </w:rPr>
      </w:r>
      <w:r w:rsidRPr="00E116B6" w:rsidR="008E637F">
        <w:rPr>
          <w:lang w:val="en-GB"/>
        </w:rPr>
        <w:fldChar w:fldCharType="separate"/>
      </w:r>
      <w:r w:rsidRPr="00E116B6" w:rsidR="00E116B6">
        <w:rPr>
          <w:noProof/>
          <w:lang w:val="en-GB"/>
        </w:rPr>
        <w:t>75</w:t>
      </w:r>
      <w:r w:rsidRPr="00E116B6" w:rsidR="008E637F">
        <w:rPr>
          <w:lang w:val="en-GB"/>
        </w:rPr>
        <w:fldChar w:fldCharType="end"/>
      </w:r>
      <w:r w:rsidRPr="00E116B6" w:rsidR="008E637F">
        <w:rPr>
          <w:lang w:val="en-GB"/>
        </w:rPr>
        <w:t xml:space="preserve"> and </w:t>
      </w:r>
      <w:r w:rsidRPr="00E116B6" w:rsidR="008E637F">
        <w:rPr>
          <w:lang w:val="en-GB"/>
        </w:rPr>
        <w:fldChar w:fldCharType="begin"/>
      </w:r>
      <w:r w:rsidRPr="00E116B6" w:rsidR="008E637F">
        <w:rPr>
          <w:lang w:val="en-GB"/>
        </w:rPr>
        <w:instrText xml:space="preserve"> REF evidences3 \h </w:instrText>
      </w:r>
      <w:r w:rsidRPr="00E116B6" w:rsidR="008E637F">
        <w:rPr>
          <w:lang w:val="en-GB"/>
        </w:rPr>
      </w:r>
      <w:r w:rsidRPr="00E116B6" w:rsidR="008E637F">
        <w:rPr>
          <w:lang w:val="en-GB"/>
        </w:rPr>
        <w:fldChar w:fldCharType="separate"/>
      </w:r>
      <w:r w:rsidRPr="00E116B6" w:rsidR="00E116B6">
        <w:rPr>
          <w:noProof/>
          <w:lang w:val="en-GB"/>
        </w:rPr>
        <w:t>76</w:t>
      </w:r>
      <w:r w:rsidRPr="00E116B6" w:rsidR="008E637F">
        <w:rPr>
          <w:lang w:val="en-GB"/>
        </w:rPr>
        <w:fldChar w:fldCharType="end"/>
      </w:r>
      <w:r w:rsidRPr="00E116B6" w:rsidR="008E637F">
        <w:rPr>
          <w:lang w:val="en-GB"/>
        </w:rPr>
        <w:t xml:space="preserve"> above</w:t>
      </w:r>
      <w:r w:rsidRPr="00E116B6" w:rsidR="0059108E">
        <w:rPr>
          <w:lang w:val="en-GB"/>
        </w:rPr>
        <w:t>)</w:t>
      </w:r>
      <w:r w:rsidRPr="00E116B6" w:rsidR="001B7EC9">
        <w:rPr>
          <w:lang w:val="en-GB"/>
        </w:rPr>
        <w:t xml:space="preserve">. </w:t>
      </w:r>
      <w:r w:rsidRPr="00E116B6" w:rsidR="0059108E">
        <w:rPr>
          <w:lang w:val="en-GB"/>
        </w:rPr>
        <w:t>Notably</w:t>
      </w:r>
      <w:r w:rsidRPr="00E116B6" w:rsidR="001B7EC9">
        <w:rPr>
          <w:lang w:val="en-GB"/>
        </w:rPr>
        <w:t xml:space="preserve">, the victim identified the first applicant as the assailant during the </w:t>
      </w:r>
      <w:r w:rsidRPr="00E116B6" w:rsidR="00320900">
        <w:rPr>
          <w:lang w:val="en-GB"/>
        </w:rPr>
        <w:t>identificati</w:t>
      </w:r>
      <w:r w:rsidRPr="00E116B6" w:rsidR="006555F4">
        <w:rPr>
          <w:lang w:val="en-GB"/>
        </w:rPr>
        <w:t xml:space="preserve">on </w:t>
      </w:r>
      <w:r w:rsidRPr="00E116B6" w:rsidR="001B7EC9">
        <w:rPr>
          <w:lang w:val="en-GB"/>
        </w:rPr>
        <w:t xml:space="preserve">parade </w:t>
      </w:r>
      <w:r w:rsidRPr="00E116B6" w:rsidR="006555F4">
        <w:rPr>
          <w:lang w:val="en-GB"/>
        </w:rPr>
        <w:t xml:space="preserve">on </w:t>
      </w:r>
      <w:r w:rsidRPr="00E116B6" w:rsidR="001B7EC9">
        <w:rPr>
          <w:lang w:val="en-GB"/>
        </w:rPr>
        <w:t>13 May 2004</w:t>
      </w:r>
      <w:r w:rsidRPr="00E116B6" w:rsidR="00047A3F">
        <w:rPr>
          <w:lang w:val="en-GB"/>
        </w:rPr>
        <w:t xml:space="preserve">. He </w:t>
      </w:r>
      <w:r w:rsidRPr="00E116B6" w:rsidR="001B7EC9">
        <w:rPr>
          <w:lang w:val="en-GB"/>
        </w:rPr>
        <w:t xml:space="preserve">then stated </w:t>
      </w:r>
      <w:r w:rsidRPr="00E116B6" w:rsidR="00047A3F">
        <w:rPr>
          <w:lang w:val="en-GB"/>
        </w:rPr>
        <w:t xml:space="preserve">that he had </w:t>
      </w:r>
      <w:r w:rsidRPr="00E116B6" w:rsidR="001B7EC9">
        <w:rPr>
          <w:lang w:val="en-GB"/>
        </w:rPr>
        <w:t xml:space="preserve">had </w:t>
      </w:r>
      <w:r w:rsidRPr="00E116B6" w:rsidR="00745E63">
        <w:rPr>
          <w:lang w:val="en-GB"/>
        </w:rPr>
        <w:t>“</w:t>
      </w:r>
      <w:r w:rsidRPr="00E116B6" w:rsidR="001B7EC9">
        <w:rPr>
          <w:lang w:val="en-GB"/>
        </w:rPr>
        <w:t>a private talk</w:t>
      </w:r>
      <w:r w:rsidRPr="00E116B6" w:rsidR="00745E63">
        <w:rPr>
          <w:lang w:val="en-GB"/>
        </w:rPr>
        <w:t>”</w:t>
      </w:r>
      <w:r w:rsidRPr="00E116B6" w:rsidR="001B7EC9">
        <w:rPr>
          <w:lang w:val="en-GB"/>
        </w:rPr>
        <w:t xml:space="preserve"> shortly after the identificati</w:t>
      </w:r>
      <w:r w:rsidRPr="00E116B6" w:rsidR="006555F4">
        <w:rPr>
          <w:lang w:val="en-GB"/>
        </w:rPr>
        <w:t xml:space="preserve">on </w:t>
      </w:r>
      <w:r w:rsidRPr="00E116B6" w:rsidR="00047A3F">
        <w:rPr>
          <w:lang w:val="en-GB"/>
        </w:rPr>
        <w:t>parade</w:t>
      </w:r>
      <w:r w:rsidRPr="00E116B6" w:rsidR="001B7EC9">
        <w:rPr>
          <w:lang w:val="en-GB"/>
        </w:rPr>
        <w:t xml:space="preserve">, </w:t>
      </w:r>
      <w:r w:rsidRPr="00E116B6" w:rsidR="00047A3F">
        <w:rPr>
          <w:lang w:val="en-GB"/>
        </w:rPr>
        <w:t xml:space="preserve">when </w:t>
      </w:r>
      <w:r w:rsidRPr="00E116B6" w:rsidR="001B7EC9">
        <w:rPr>
          <w:lang w:val="en-GB"/>
        </w:rPr>
        <w:t>the first applicant</w:t>
      </w:r>
      <w:r w:rsidRPr="00E116B6" w:rsidR="00885B41">
        <w:rPr>
          <w:lang w:val="en-GB"/>
        </w:rPr>
        <w:t xml:space="preserve"> had</w:t>
      </w:r>
      <w:r w:rsidRPr="00E116B6" w:rsidR="001B7EC9">
        <w:rPr>
          <w:lang w:val="en-GB"/>
        </w:rPr>
        <w:t xml:space="preserve"> reportedly confessed to </w:t>
      </w:r>
      <w:r w:rsidRPr="00E116B6" w:rsidR="00885B41">
        <w:rPr>
          <w:lang w:val="en-GB"/>
        </w:rPr>
        <w:t>him</w:t>
      </w:r>
      <w:r w:rsidRPr="00E116B6" w:rsidR="001B7EC9">
        <w:rPr>
          <w:lang w:val="en-GB"/>
        </w:rPr>
        <w:t xml:space="preserve"> and implicated </w:t>
      </w:r>
      <w:r w:rsidRPr="00E116B6" w:rsidR="00885B41">
        <w:rPr>
          <w:lang w:val="en-GB"/>
        </w:rPr>
        <w:t>the second applicant.</w:t>
      </w:r>
    </w:p>
    <w:p w:rsidRPr="00E116B6" w:rsidR="00AC1180" w:rsidP="00E116B6" w:rsidRDefault="001B7EC9">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143</w:t>
      </w:r>
      <w:r w:rsidRPr="00E116B6">
        <w:rPr>
          <w:lang w:val="en-GB"/>
        </w:rPr>
        <w:fldChar w:fldCharType="end"/>
      </w:r>
      <w:r w:rsidRPr="00E116B6">
        <w:rPr>
          <w:lang w:val="en-GB"/>
        </w:rPr>
        <w:t>.  </w:t>
      </w:r>
      <w:r w:rsidRPr="00E116B6" w:rsidR="00885B41">
        <w:rPr>
          <w:lang w:val="en-GB"/>
        </w:rPr>
        <w:t xml:space="preserve">Firstly, the Court </w:t>
      </w:r>
      <w:r w:rsidRPr="00E116B6" w:rsidR="00047A3F">
        <w:rPr>
          <w:lang w:val="en-GB"/>
        </w:rPr>
        <w:t xml:space="preserve">must note </w:t>
      </w:r>
      <w:r w:rsidRPr="00E116B6" w:rsidR="00885B41">
        <w:rPr>
          <w:lang w:val="en-GB"/>
        </w:rPr>
        <w:t>that the identificati</w:t>
      </w:r>
      <w:r w:rsidRPr="00E116B6" w:rsidR="006555F4">
        <w:rPr>
          <w:lang w:val="en-GB"/>
        </w:rPr>
        <w:t xml:space="preserve">on </w:t>
      </w:r>
      <w:r w:rsidRPr="00E116B6" w:rsidR="00885B41">
        <w:rPr>
          <w:lang w:val="en-GB"/>
        </w:rPr>
        <w:t xml:space="preserve">parade was conducted in manifest disregard of the procedural requirement contained in Article 347 </w:t>
      </w:r>
      <w:r w:rsidRPr="00E116B6" w:rsidR="00885B41">
        <w:rPr>
          <w:rFonts w:cstheme="minorHAnsi"/>
          <w:lang w:val="en-GB"/>
        </w:rPr>
        <w:t>§</w:t>
      </w:r>
      <w:r w:rsidRPr="00E116B6" w:rsidR="00885B41">
        <w:rPr>
          <w:lang w:val="en-GB"/>
        </w:rPr>
        <w:t xml:space="preserve"> 3 of the CCP.</w:t>
      </w:r>
      <w:r w:rsidRPr="00E116B6" w:rsidR="0059108E">
        <w:rPr>
          <w:lang w:val="en-GB"/>
        </w:rPr>
        <w:t xml:space="preserve"> Notably, whilst th</w:t>
      </w:r>
      <w:r w:rsidRPr="00E116B6" w:rsidR="00320900">
        <w:rPr>
          <w:lang w:val="en-GB"/>
        </w:rPr>
        <w:t>at</w:t>
      </w:r>
      <w:r w:rsidRPr="00E116B6" w:rsidR="0059108E">
        <w:rPr>
          <w:lang w:val="en-GB"/>
        </w:rPr>
        <w:t xml:space="preserve"> provisi</w:t>
      </w:r>
      <w:r w:rsidRPr="00E116B6" w:rsidR="006555F4">
        <w:rPr>
          <w:lang w:val="en-GB"/>
        </w:rPr>
        <w:t xml:space="preserve">on </w:t>
      </w:r>
      <w:r w:rsidRPr="00E116B6" w:rsidR="00885B41">
        <w:rPr>
          <w:lang w:val="en-GB"/>
        </w:rPr>
        <w:t xml:space="preserve">clearly stated that a suspect had to be presented with three other people “who are not markedly different in terms of their appearance or clothing”, the very opposite happened in the </w:t>
      </w:r>
      <w:r w:rsidRPr="00E116B6" w:rsidR="0059108E">
        <w:rPr>
          <w:lang w:val="en-GB"/>
        </w:rPr>
        <w:t>present</w:t>
      </w:r>
      <w:r w:rsidRPr="00E116B6" w:rsidR="00885B41">
        <w:rPr>
          <w:lang w:val="en-GB"/>
        </w:rPr>
        <w:t xml:space="preserve"> case. </w:t>
      </w:r>
      <w:r w:rsidRPr="00E116B6" w:rsidR="00320900">
        <w:rPr>
          <w:lang w:val="en-GB"/>
        </w:rPr>
        <w:t>Indeed</w:t>
      </w:r>
      <w:r w:rsidRPr="00E116B6" w:rsidR="00885B41">
        <w:rPr>
          <w:lang w:val="en-GB"/>
        </w:rPr>
        <w:t xml:space="preserve">, </w:t>
      </w:r>
      <w:r w:rsidRPr="00E116B6" w:rsidR="00007184">
        <w:rPr>
          <w:lang w:val="en-GB"/>
        </w:rPr>
        <w:t xml:space="preserve">there </w:t>
      </w:r>
      <w:r w:rsidRPr="00E116B6" w:rsidR="00320900">
        <w:rPr>
          <w:lang w:val="en-GB"/>
        </w:rPr>
        <w:t xml:space="preserve">was </w:t>
      </w:r>
      <w:r w:rsidRPr="00E116B6" w:rsidR="00007184">
        <w:rPr>
          <w:lang w:val="en-GB"/>
        </w:rPr>
        <w:t xml:space="preserve">a considerable difference in appearance between the first applicant and the other </w:t>
      </w:r>
      <w:r w:rsidRPr="00E116B6" w:rsidR="003601F0">
        <w:rPr>
          <w:lang w:val="en-GB"/>
        </w:rPr>
        <w:t>participants in</w:t>
      </w:r>
      <w:r w:rsidRPr="00E116B6" w:rsidR="00007184">
        <w:rPr>
          <w:lang w:val="en-GB"/>
        </w:rPr>
        <w:t xml:space="preserve"> the identificati</w:t>
      </w:r>
      <w:r w:rsidRPr="00E116B6" w:rsidR="006555F4">
        <w:rPr>
          <w:lang w:val="en-GB"/>
        </w:rPr>
        <w:t xml:space="preserve">on </w:t>
      </w:r>
      <w:r w:rsidRPr="00E116B6" w:rsidR="00320900">
        <w:rPr>
          <w:lang w:val="en-GB"/>
        </w:rPr>
        <w:t>parade</w:t>
      </w:r>
      <w:r w:rsidRPr="00E116B6" w:rsidR="00007184">
        <w:rPr>
          <w:lang w:val="en-GB"/>
        </w:rPr>
        <w:t xml:space="preserve">, </w:t>
      </w:r>
      <w:r w:rsidRPr="00E116B6" w:rsidR="00320900">
        <w:rPr>
          <w:lang w:val="en-GB"/>
        </w:rPr>
        <w:t>a</w:t>
      </w:r>
      <w:r w:rsidRPr="00E116B6" w:rsidR="00007184">
        <w:rPr>
          <w:lang w:val="en-GB"/>
        </w:rPr>
        <w:t xml:space="preserve"> fact which was acknowledged </w:t>
      </w:r>
      <w:r w:rsidRPr="00E116B6" w:rsidR="00320900">
        <w:rPr>
          <w:lang w:val="en-GB"/>
        </w:rPr>
        <w:t xml:space="preserve">several times </w:t>
      </w:r>
      <w:r w:rsidRPr="00E116B6" w:rsidR="00007184">
        <w:rPr>
          <w:lang w:val="en-GB"/>
        </w:rPr>
        <w:t xml:space="preserve">by </w:t>
      </w:r>
      <w:r w:rsidRPr="00E116B6" w:rsidR="00320900">
        <w:rPr>
          <w:lang w:val="en-GB"/>
        </w:rPr>
        <w:t>various p</w:t>
      </w:r>
      <w:r w:rsidRPr="00E116B6" w:rsidR="003601F0">
        <w:rPr>
          <w:lang w:val="en-GB"/>
        </w:rPr>
        <w:t>eople</w:t>
      </w:r>
      <w:r w:rsidRPr="00E116B6" w:rsidR="00320900">
        <w:rPr>
          <w:lang w:val="en-GB"/>
        </w:rPr>
        <w:t xml:space="preserve"> during </w:t>
      </w:r>
      <w:r w:rsidRPr="00E116B6" w:rsidR="00007184">
        <w:rPr>
          <w:lang w:val="en-GB"/>
        </w:rPr>
        <w:t>the domestic proceedings</w:t>
      </w:r>
      <w:r w:rsidRPr="00E116B6" w:rsidR="00D008F0">
        <w:rPr>
          <w:lang w:val="en-GB"/>
        </w:rPr>
        <w:t xml:space="preserve"> </w:t>
      </w:r>
      <w:r w:rsidRPr="00E116B6" w:rsidR="00007184">
        <w:rPr>
          <w:lang w:val="en-GB"/>
        </w:rPr>
        <w:t xml:space="preserve">and </w:t>
      </w:r>
      <w:r w:rsidRPr="00E116B6" w:rsidR="003601F0">
        <w:rPr>
          <w:lang w:val="en-GB"/>
        </w:rPr>
        <w:t xml:space="preserve">which </w:t>
      </w:r>
      <w:r w:rsidRPr="00E116B6" w:rsidR="00007184">
        <w:rPr>
          <w:lang w:val="en-GB"/>
        </w:rPr>
        <w:t>remained uncontested by the Government in the proceedings before the Court.</w:t>
      </w:r>
      <w:r w:rsidRPr="00E116B6" w:rsidR="00D008F0">
        <w:rPr>
          <w:lang w:val="en-GB"/>
        </w:rPr>
        <w:t xml:space="preserve"> Both applicants raised that major argument </w:t>
      </w:r>
      <w:r w:rsidRPr="00E116B6" w:rsidR="00320900">
        <w:rPr>
          <w:lang w:val="en-GB"/>
        </w:rPr>
        <w:t xml:space="preserve">in their </w:t>
      </w:r>
      <w:r w:rsidRPr="00E116B6" w:rsidR="00D008F0">
        <w:rPr>
          <w:lang w:val="en-GB"/>
        </w:rPr>
        <w:t>defence before the domestic courts, but the</w:t>
      </w:r>
      <w:r w:rsidRPr="00E116B6" w:rsidR="00320900">
        <w:rPr>
          <w:lang w:val="en-GB"/>
        </w:rPr>
        <w:t xml:space="preserve">y provided no response </w:t>
      </w:r>
      <w:r w:rsidRPr="00E116B6" w:rsidR="00D008F0">
        <w:rPr>
          <w:lang w:val="en-GB"/>
        </w:rPr>
        <w:t>to it in their decisions</w:t>
      </w:r>
      <w:r w:rsidRPr="00E116B6" w:rsidR="00745E63">
        <w:rPr>
          <w:lang w:val="en-GB"/>
        </w:rPr>
        <w:t xml:space="preserve"> (</w:t>
      </w:r>
      <w:r w:rsidRPr="00E116B6" w:rsidR="00612A6B">
        <w:rPr>
          <w:lang w:val="en-GB"/>
        </w:rPr>
        <w:t xml:space="preserve">compare, </w:t>
      </w:r>
      <w:r w:rsidRPr="00E116B6" w:rsidR="00612A6B">
        <w:rPr>
          <w:i/>
          <w:lang w:val="en-GB"/>
        </w:rPr>
        <w:t>mutatis mutandis</w:t>
      </w:r>
      <w:r w:rsidRPr="00E116B6" w:rsidR="00612A6B">
        <w:rPr>
          <w:lang w:val="en-GB"/>
        </w:rPr>
        <w:t xml:space="preserve">, with </w:t>
      </w:r>
      <w:r w:rsidRPr="00E116B6" w:rsidR="00745E63">
        <w:rPr>
          <w:i/>
          <w:lang w:val="en-GB"/>
        </w:rPr>
        <w:t>Laska and Lika v. Albania</w:t>
      </w:r>
      <w:r w:rsidRPr="00E116B6" w:rsidR="00BD03AB">
        <w:rPr>
          <w:lang w:val="en-GB"/>
        </w:rPr>
        <w:t>, nos. 12315/04 and </w:t>
      </w:r>
      <w:r w:rsidRPr="00E116B6" w:rsidR="00745E63">
        <w:rPr>
          <w:lang w:val="en-GB"/>
        </w:rPr>
        <w:t>17605/04</w:t>
      </w:r>
      <w:r w:rsidRPr="00E116B6" w:rsidR="00745E63">
        <w:rPr>
          <w:snapToGrid w:val="0"/>
          <w:lang w:val="en-GB"/>
        </w:rPr>
        <w:t>, §</w:t>
      </w:r>
      <w:r w:rsidRPr="00E116B6" w:rsidR="00745E63">
        <w:rPr>
          <w:rFonts w:cstheme="minorHAnsi"/>
          <w:snapToGrid w:val="0"/>
          <w:lang w:val="en-GB"/>
        </w:rPr>
        <w:t>§</w:t>
      </w:r>
      <w:r w:rsidRPr="00E116B6" w:rsidR="00745E63">
        <w:rPr>
          <w:snapToGrid w:val="0"/>
          <w:lang w:val="en-GB"/>
        </w:rPr>
        <w:t xml:space="preserve"> 65-71, 20 April 2010, and </w:t>
      </w:r>
      <w:r w:rsidRPr="00E116B6" w:rsidR="00745E63">
        <w:rPr>
          <w:i/>
          <w:lang w:val="en-GB"/>
        </w:rPr>
        <w:t>Popov v. Russia</w:t>
      </w:r>
      <w:r w:rsidRPr="00E116B6" w:rsidR="00745E63">
        <w:rPr>
          <w:lang w:val="en-GB"/>
        </w:rPr>
        <w:t>, no. 26853/04, §</w:t>
      </w:r>
      <w:r w:rsidRPr="00E116B6" w:rsidR="0000400E">
        <w:rPr>
          <w:lang w:val="en-GB"/>
        </w:rPr>
        <w:t> </w:t>
      </w:r>
      <w:r w:rsidRPr="00E116B6" w:rsidR="00745E63">
        <w:rPr>
          <w:lang w:val="en-GB"/>
        </w:rPr>
        <w:t>181, 13 July 2006, for situations whe</w:t>
      </w:r>
      <w:r w:rsidRPr="00E116B6" w:rsidR="00047A3F">
        <w:rPr>
          <w:lang w:val="en-GB"/>
        </w:rPr>
        <w:t>re</w:t>
      </w:r>
      <w:r w:rsidRPr="00E116B6" w:rsidR="00745E63">
        <w:rPr>
          <w:lang w:val="en-GB"/>
        </w:rPr>
        <w:t xml:space="preserve"> the conduct of identificati</w:t>
      </w:r>
      <w:r w:rsidRPr="00E116B6" w:rsidR="006555F4">
        <w:rPr>
          <w:lang w:val="en-GB"/>
        </w:rPr>
        <w:t xml:space="preserve">on </w:t>
      </w:r>
      <w:r w:rsidRPr="00E116B6" w:rsidR="00745E63">
        <w:rPr>
          <w:lang w:val="en-GB"/>
        </w:rPr>
        <w:t xml:space="preserve">parades in breach of the relevant domestic requirements, either </w:t>
      </w:r>
      <w:r w:rsidRPr="00E116B6" w:rsidR="006555F4">
        <w:rPr>
          <w:lang w:val="en-GB"/>
        </w:rPr>
        <w:t xml:space="preserve">on </w:t>
      </w:r>
      <w:r w:rsidRPr="00E116B6" w:rsidR="00320900">
        <w:rPr>
          <w:lang w:val="en-GB"/>
        </w:rPr>
        <w:t xml:space="preserve">their own </w:t>
      </w:r>
      <w:r w:rsidRPr="00E116B6" w:rsidR="00745E63">
        <w:rPr>
          <w:lang w:val="en-GB"/>
        </w:rPr>
        <w:t xml:space="preserve">or in </w:t>
      </w:r>
      <w:r w:rsidRPr="00E116B6" w:rsidR="00320900">
        <w:rPr>
          <w:lang w:val="en-GB"/>
        </w:rPr>
        <w:t xml:space="preserve">tandem </w:t>
      </w:r>
      <w:r w:rsidRPr="00E116B6" w:rsidR="00745E63">
        <w:rPr>
          <w:lang w:val="en-GB"/>
        </w:rPr>
        <w:t xml:space="preserve">with other arguments, </w:t>
      </w:r>
      <w:r w:rsidRPr="00E116B6" w:rsidR="00320900">
        <w:rPr>
          <w:lang w:val="en-GB"/>
        </w:rPr>
        <w:t xml:space="preserve">led the Court </w:t>
      </w:r>
      <w:r w:rsidRPr="00E116B6" w:rsidR="00745E63">
        <w:rPr>
          <w:lang w:val="en-GB"/>
        </w:rPr>
        <w:t xml:space="preserve">to </w:t>
      </w:r>
      <w:r w:rsidRPr="00E116B6" w:rsidR="0059108E">
        <w:rPr>
          <w:lang w:val="en-GB"/>
        </w:rPr>
        <w:t>find</w:t>
      </w:r>
      <w:r w:rsidRPr="00E116B6" w:rsidR="00745E63">
        <w:rPr>
          <w:lang w:val="en-GB"/>
        </w:rPr>
        <w:t xml:space="preserve"> a breach of the right to a fair trial)</w:t>
      </w:r>
      <w:r w:rsidRPr="00E116B6" w:rsidR="00D008F0">
        <w:rPr>
          <w:lang w:val="en-GB"/>
        </w:rPr>
        <w:t>.</w:t>
      </w:r>
    </w:p>
    <w:p w:rsidRPr="00E116B6" w:rsidR="00AC1180" w:rsidP="00E116B6" w:rsidRDefault="003864A3">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144</w:t>
      </w:r>
      <w:r w:rsidRPr="00E116B6">
        <w:rPr>
          <w:lang w:val="en-GB"/>
        </w:rPr>
        <w:fldChar w:fldCharType="end"/>
      </w:r>
      <w:r w:rsidRPr="00E116B6">
        <w:rPr>
          <w:lang w:val="en-GB"/>
        </w:rPr>
        <w:t>.  </w:t>
      </w:r>
      <w:r w:rsidRPr="00E116B6" w:rsidR="00007184">
        <w:rPr>
          <w:lang w:val="en-GB"/>
        </w:rPr>
        <w:t>Secondly,</w:t>
      </w:r>
      <w:r w:rsidRPr="00E116B6" w:rsidR="0059108E">
        <w:rPr>
          <w:lang w:val="en-GB"/>
        </w:rPr>
        <w:t xml:space="preserve"> the Court considers that</w:t>
      </w:r>
      <w:r w:rsidRPr="00E116B6" w:rsidR="00D008F0">
        <w:rPr>
          <w:lang w:val="en-GB"/>
        </w:rPr>
        <w:t xml:space="preserve"> the victim</w:t>
      </w:r>
      <w:r w:rsidRPr="00E116B6" w:rsidR="00E116B6">
        <w:rPr>
          <w:lang w:val="en-GB"/>
        </w:rPr>
        <w:t>’</w:t>
      </w:r>
      <w:r w:rsidRPr="00E116B6" w:rsidR="00D008F0">
        <w:rPr>
          <w:lang w:val="en-GB"/>
        </w:rPr>
        <w:t>s statement that the first applicant</w:t>
      </w:r>
      <w:r w:rsidRPr="00E116B6" w:rsidR="00007184">
        <w:rPr>
          <w:lang w:val="en-GB"/>
        </w:rPr>
        <w:t xml:space="preserve"> </w:t>
      </w:r>
      <w:r w:rsidRPr="00E116B6" w:rsidR="00D008F0">
        <w:rPr>
          <w:lang w:val="en-GB"/>
        </w:rPr>
        <w:t>had confessed to him during their “private talk”</w:t>
      </w:r>
      <w:r w:rsidRPr="00E116B6" w:rsidR="009A79F0">
        <w:rPr>
          <w:lang w:val="en-GB"/>
        </w:rPr>
        <w:t xml:space="preserve">, </w:t>
      </w:r>
      <w:r w:rsidRPr="00E116B6" w:rsidR="00BD58B1">
        <w:rPr>
          <w:lang w:val="en-GB"/>
        </w:rPr>
        <w:t xml:space="preserve">which was </w:t>
      </w:r>
      <w:r w:rsidRPr="00E116B6" w:rsidR="009A79F0">
        <w:rPr>
          <w:lang w:val="en-GB"/>
        </w:rPr>
        <w:t>not attended by a lawyer or an independent witness,</w:t>
      </w:r>
      <w:r w:rsidRPr="00E116B6" w:rsidR="00D008F0">
        <w:rPr>
          <w:lang w:val="en-GB"/>
        </w:rPr>
        <w:t xml:space="preserve"> had no probative value for the same reasons as </w:t>
      </w:r>
      <w:r w:rsidRPr="00E116B6" w:rsidR="00047A3F">
        <w:rPr>
          <w:lang w:val="en-GB"/>
        </w:rPr>
        <w:t xml:space="preserve">those </w:t>
      </w:r>
      <w:r w:rsidRPr="00E116B6" w:rsidR="00D008F0">
        <w:rPr>
          <w:lang w:val="en-GB"/>
        </w:rPr>
        <w:t>outlined above</w:t>
      </w:r>
      <w:r w:rsidRPr="00E116B6" w:rsidR="0059108E">
        <w:rPr>
          <w:lang w:val="en-GB"/>
        </w:rPr>
        <w:t xml:space="preserve"> – notably,</w:t>
      </w:r>
      <w:r w:rsidRPr="00E116B6" w:rsidR="00D008F0">
        <w:rPr>
          <w:lang w:val="en-GB"/>
        </w:rPr>
        <w:t xml:space="preserve"> the lasting physical and mental effects of the torture to which the first applicant had been subjected a few hours earlier (see paragraph </w:t>
      </w:r>
      <w:r w:rsidRPr="00E116B6" w:rsidR="008E637F">
        <w:rPr>
          <w:lang w:val="en-GB"/>
        </w:rPr>
        <w:fldChar w:fldCharType="begin"/>
      </w:r>
      <w:r w:rsidRPr="00E116B6" w:rsidR="008E637F">
        <w:rPr>
          <w:lang w:val="en-GB"/>
        </w:rPr>
        <w:instrText xml:space="preserve"> REF courtcriticofsecondconfession \h </w:instrText>
      </w:r>
      <w:r w:rsidRPr="00E116B6" w:rsidR="008E637F">
        <w:rPr>
          <w:lang w:val="en-GB"/>
        </w:rPr>
      </w:r>
      <w:r w:rsidRPr="00E116B6" w:rsidR="008E637F">
        <w:rPr>
          <w:lang w:val="en-GB"/>
        </w:rPr>
        <w:fldChar w:fldCharType="separate"/>
      </w:r>
      <w:r w:rsidRPr="00E116B6" w:rsidR="00E116B6">
        <w:rPr>
          <w:noProof/>
          <w:lang w:val="en-GB"/>
        </w:rPr>
        <w:t>141</w:t>
      </w:r>
      <w:r w:rsidRPr="00E116B6" w:rsidR="008E637F">
        <w:rPr>
          <w:lang w:val="en-GB"/>
        </w:rPr>
        <w:fldChar w:fldCharType="end"/>
      </w:r>
      <w:r w:rsidRPr="00E116B6" w:rsidR="008E637F">
        <w:rPr>
          <w:lang w:val="en-GB"/>
        </w:rPr>
        <w:t xml:space="preserve"> </w:t>
      </w:r>
      <w:r w:rsidRPr="00E116B6" w:rsidR="00D008F0">
        <w:rPr>
          <w:lang w:val="en-GB"/>
        </w:rPr>
        <w:t>above, with other references mentioned there).</w:t>
      </w:r>
      <w:r w:rsidRPr="00E116B6" w:rsidR="00F21012">
        <w:rPr>
          <w:lang w:val="en-GB"/>
        </w:rPr>
        <w:t xml:space="preserve"> </w:t>
      </w:r>
      <w:r w:rsidRPr="00E116B6" w:rsidR="00320900">
        <w:rPr>
          <w:lang w:val="en-GB"/>
        </w:rPr>
        <w:t>Lastly</w:t>
      </w:r>
      <w:r w:rsidRPr="00E116B6" w:rsidR="00C81078">
        <w:rPr>
          <w:lang w:val="en-GB"/>
        </w:rPr>
        <w:t xml:space="preserve">, </w:t>
      </w:r>
      <w:r w:rsidRPr="00E116B6" w:rsidR="00745E63">
        <w:rPr>
          <w:lang w:val="en-GB"/>
        </w:rPr>
        <w:t xml:space="preserve">the Court observes that </w:t>
      </w:r>
      <w:r w:rsidRPr="00E116B6" w:rsidR="00C81078">
        <w:rPr>
          <w:lang w:val="en-GB"/>
        </w:rPr>
        <w:t>there existed the</w:t>
      </w:r>
      <w:r w:rsidRPr="00E116B6" w:rsidR="00F21012">
        <w:rPr>
          <w:lang w:val="en-GB"/>
        </w:rPr>
        <w:t xml:space="preserve"> required</w:t>
      </w:r>
      <w:r w:rsidRPr="00E116B6" w:rsidR="00705939">
        <w:rPr>
          <w:lang w:val="en-GB"/>
        </w:rPr>
        <w:t xml:space="preserve"> minimum evidence </w:t>
      </w:r>
      <w:r w:rsidRPr="00E116B6" w:rsidR="00320900">
        <w:rPr>
          <w:lang w:val="en-GB"/>
        </w:rPr>
        <w:t xml:space="preserve">to </w:t>
      </w:r>
      <w:r w:rsidRPr="00E116B6" w:rsidR="00705939">
        <w:rPr>
          <w:lang w:val="en-GB"/>
        </w:rPr>
        <w:t>support a reasonable suspici</w:t>
      </w:r>
      <w:r w:rsidRPr="00E116B6" w:rsidR="006555F4">
        <w:rPr>
          <w:lang w:val="en-GB"/>
        </w:rPr>
        <w:t xml:space="preserve">on </w:t>
      </w:r>
      <w:r w:rsidRPr="00E116B6" w:rsidR="00705939">
        <w:rPr>
          <w:lang w:val="en-GB"/>
        </w:rPr>
        <w:t>that the victim</w:t>
      </w:r>
      <w:r w:rsidRPr="00E116B6" w:rsidR="00FF462F">
        <w:rPr>
          <w:lang w:val="en-GB"/>
        </w:rPr>
        <w:t>, the member of parliament, had</w:t>
      </w:r>
      <w:r w:rsidRPr="00E116B6" w:rsidR="00705939">
        <w:rPr>
          <w:lang w:val="en-GB"/>
        </w:rPr>
        <w:t xml:space="preserve"> stood behind several attempts </w:t>
      </w:r>
      <w:r w:rsidRPr="00E116B6" w:rsidR="00745E63">
        <w:rPr>
          <w:lang w:val="en-GB"/>
        </w:rPr>
        <w:t xml:space="preserve">to coerce </w:t>
      </w:r>
      <w:r w:rsidRPr="00E116B6" w:rsidR="00320900">
        <w:rPr>
          <w:lang w:val="en-GB"/>
        </w:rPr>
        <w:t xml:space="preserve">the first applicant </w:t>
      </w:r>
      <w:r w:rsidRPr="00E116B6" w:rsidR="00FF462F">
        <w:rPr>
          <w:lang w:val="en-GB"/>
        </w:rPr>
        <w:t>into</w:t>
      </w:r>
      <w:r w:rsidRPr="00E116B6" w:rsidR="00745E63">
        <w:rPr>
          <w:lang w:val="en-GB"/>
        </w:rPr>
        <w:t xml:space="preserve"> stand</w:t>
      </w:r>
      <w:r w:rsidRPr="00E116B6" w:rsidR="00FF462F">
        <w:rPr>
          <w:lang w:val="en-GB"/>
        </w:rPr>
        <w:t>ing</w:t>
      </w:r>
      <w:r w:rsidRPr="00E116B6" w:rsidR="00745E63">
        <w:rPr>
          <w:lang w:val="en-GB"/>
        </w:rPr>
        <w:t xml:space="preserve"> by his initial confessi</w:t>
      </w:r>
      <w:r w:rsidRPr="00E116B6" w:rsidR="006555F4">
        <w:rPr>
          <w:lang w:val="en-GB"/>
        </w:rPr>
        <w:t xml:space="preserve">on </w:t>
      </w:r>
      <w:r w:rsidRPr="00E116B6" w:rsidR="00F21012">
        <w:rPr>
          <w:lang w:val="en-GB"/>
        </w:rPr>
        <w:t>(see paragraphs</w:t>
      </w:r>
      <w:r w:rsidRPr="00E116B6" w:rsidR="000D22D4">
        <w:rPr>
          <w:lang w:val="en-GB"/>
        </w:rPr>
        <w:t> </w:t>
      </w:r>
      <w:r w:rsidRPr="00E116B6" w:rsidR="008E637F">
        <w:rPr>
          <w:lang w:val="en-GB"/>
        </w:rPr>
        <w:fldChar w:fldCharType="begin"/>
      </w:r>
      <w:r w:rsidRPr="00E116B6" w:rsidR="008E637F">
        <w:rPr>
          <w:lang w:val="en-GB"/>
        </w:rPr>
        <w:instrText xml:space="preserve"> REF complaintdate2 \h </w:instrText>
      </w:r>
      <w:r w:rsidRPr="00E116B6" w:rsidR="008E637F">
        <w:rPr>
          <w:lang w:val="en-GB"/>
        </w:rPr>
      </w:r>
      <w:r w:rsidRPr="00E116B6" w:rsidR="008E637F">
        <w:rPr>
          <w:lang w:val="en-GB"/>
        </w:rPr>
        <w:fldChar w:fldCharType="separate"/>
      </w:r>
      <w:r w:rsidRPr="00E116B6" w:rsidR="00E116B6">
        <w:rPr>
          <w:noProof/>
          <w:lang w:val="en-GB"/>
        </w:rPr>
        <w:t>26</w:t>
      </w:r>
      <w:r w:rsidRPr="00E116B6" w:rsidR="008E637F">
        <w:rPr>
          <w:lang w:val="en-GB"/>
        </w:rPr>
        <w:fldChar w:fldCharType="end"/>
      </w:r>
      <w:r w:rsidRPr="00E116B6" w:rsidR="008E637F">
        <w:rPr>
          <w:lang w:val="en-GB"/>
        </w:rPr>
        <w:t xml:space="preserve">, </w:t>
      </w:r>
      <w:r w:rsidRPr="00E116B6" w:rsidR="008E637F">
        <w:rPr>
          <w:lang w:val="en-GB"/>
        </w:rPr>
        <w:fldChar w:fldCharType="begin"/>
      </w:r>
      <w:r w:rsidRPr="00E116B6" w:rsidR="008E637F">
        <w:rPr>
          <w:lang w:val="en-GB"/>
        </w:rPr>
        <w:instrText xml:space="preserve"> REF victimsbribe \h </w:instrText>
      </w:r>
      <w:r w:rsidRPr="00E116B6" w:rsidR="008E637F">
        <w:rPr>
          <w:lang w:val="en-GB"/>
        </w:rPr>
      </w:r>
      <w:r w:rsidRPr="00E116B6" w:rsidR="008E637F">
        <w:rPr>
          <w:lang w:val="en-GB"/>
        </w:rPr>
        <w:fldChar w:fldCharType="separate"/>
      </w:r>
      <w:r w:rsidRPr="00E116B6" w:rsidR="00E116B6">
        <w:rPr>
          <w:noProof/>
          <w:lang w:val="en-GB"/>
        </w:rPr>
        <w:t>36</w:t>
      </w:r>
      <w:r w:rsidRPr="00E116B6" w:rsidR="008E637F">
        <w:rPr>
          <w:lang w:val="en-GB"/>
        </w:rPr>
        <w:fldChar w:fldCharType="end"/>
      </w:r>
      <w:r w:rsidRPr="00E116B6" w:rsidR="000D22D4">
        <w:rPr>
          <w:lang w:val="en-GB"/>
        </w:rPr>
        <w:noBreakHyphen/>
      </w:r>
      <w:r w:rsidRPr="00E116B6" w:rsidR="008E637F">
        <w:rPr>
          <w:lang w:val="en-GB"/>
        </w:rPr>
        <w:fldChar w:fldCharType="begin"/>
      </w:r>
      <w:r w:rsidRPr="00E116B6" w:rsidR="008E637F">
        <w:rPr>
          <w:lang w:val="en-GB"/>
        </w:rPr>
        <w:instrText xml:space="preserve"> REF victimsbribe1 \h </w:instrText>
      </w:r>
      <w:r w:rsidRPr="00E116B6" w:rsidR="008E637F">
        <w:rPr>
          <w:lang w:val="en-GB"/>
        </w:rPr>
      </w:r>
      <w:r w:rsidRPr="00E116B6" w:rsidR="008E637F">
        <w:rPr>
          <w:lang w:val="en-GB"/>
        </w:rPr>
        <w:fldChar w:fldCharType="separate"/>
      </w:r>
      <w:r w:rsidRPr="00E116B6" w:rsidR="00E116B6">
        <w:rPr>
          <w:noProof/>
          <w:lang w:val="en-GB"/>
        </w:rPr>
        <w:t>38</w:t>
      </w:r>
      <w:r w:rsidRPr="00E116B6" w:rsidR="008E637F">
        <w:rPr>
          <w:lang w:val="en-GB"/>
        </w:rPr>
        <w:fldChar w:fldCharType="end"/>
      </w:r>
      <w:r w:rsidRPr="00E116B6" w:rsidR="008E637F">
        <w:rPr>
          <w:lang w:val="en-GB"/>
        </w:rPr>
        <w:t xml:space="preserve">, </w:t>
      </w:r>
      <w:r w:rsidRPr="00E116B6" w:rsidR="008E637F">
        <w:rPr>
          <w:lang w:val="en-GB"/>
        </w:rPr>
        <w:fldChar w:fldCharType="begin"/>
      </w:r>
      <w:r w:rsidRPr="00E116B6" w:rsidR="008E637F">
        <w:rPr>
          <w:lang w:val="en-GB"/>
        </w:rPr>
        <w:instrText xml:space="preserve"> REF apprequestreinvest \h </w:instrText>
      </w:r>
      <w:r w:rsidRPr="00E116B6" w:rsidR="008E637F">
        <w:rPr>
          <w:lang w:val="en-GB"/>
        </w:rPr>
      </w:r>
      <w:r w:rsidRPr="00E116B6" w:rsidR="008E637F">
        <w:rPr>
          <w:lang w:val="en-GB"/>
        </w:rPr>
        <w:fldChar w:fldCharType="separate"/>
      </w:r>
      <w:r w:rsidRPr="00E116B6" w:rsidR="00E116B6">
        <w:rPr>
          <w:noProof/>
          <w:lang w:val="en-GB"/>
        </w:rPr>
        <w:t>41</w:t>
      </w:r>
      <w:r w:rsidRPr="00E116B6" w:rsidR="008E637F">
        <w:rPr>
          <w:lang w:val="en-GB"/>
        </w:rPr>
        <w:fldChar w:fldCharType="end"/>
      </w:r>
      <w:r w:rsidRPr="00E116B6" w:rsidR="008E637F">
        <w:rPr>
          <w:lang w:val="en-GB"/>
        </w:rPr>
        <w:t xml:space="preserve"> and </w:t>
      </w:r>
      <w:r w:rsidRPr="00E116B6" w:rsidR="008E637F">
        <w:rPr>
          <w:lang w:val="en-GB"/>
        </w:rPr>
        <w:fldChar w:fldCharType="begin"/>
      </w:r>
      <w:r w:rsidRPr="00E116B6" w:rsidR="008E637F">
        <w:rPr>
          <w:lang w:val="en-GB"/>
        </w:rPr>
        <w:instrText xml:space="preserve"> REF victimsbribe2 \h </w:instrText>
      </w:r>
      <w:r w:rsidRPr="00E116B6" w:rsidR="008E637F">
        <w:rPr>
          <w:lang w:val="en-GB"/>
        </w:rPr>
      </w:r>
      <w:r w:rsidRPr="00E116B6" w:rsidR="008E637F">
        <w:rPr>
          <w:lang w:val="en-GB"/>
        </w:rPr>
        <w:fldChar w:fldCharType="separate"/>
      </w:r>
      <w:r w:rsidRPr="00E116B6" w:rsidR="00E116B6">
        <w:rPr>
          <w:noProof/>
          <w:lang w:val="en-GB"/>
        </w:rPr>
        <w:t>70</w:t>
      </w:r>
      <w:r w:rsidRPr="00E116B6" w:rsidR="008E637F">
        <w:rPr>
          <w:lang w:val="en-GB"/>
        </w:rPr>
        <w:fldChar w:fldCharType="end"/>
      </w:r>
      <w:r w:rsidRPr="00E116B6">
        <w:rPr>
          <w:lang w:val="en-GB"/>
        </w:rPr>
        <w:t xml:space="preserve"> </w:t>
      </w:r>
      <w:r w:rsidRPr="00E116B6" w:rsidR="00F21012">
        <w:rPr>
          <w:lang w:val="en-GB"/>
        </w:rPr>
        <w:t>above)</w:t>
      </w:r>
      <w:r w:rsidRPr="00E116B6" w:rsidR="00320900">
        <w:rPr>
          <w:lang w:val="en-GB"/>
        </w:rPr>
        <w:t>.</w:t>
      </w:r>
      <w:r w:rsidRPr="00E116B6" w:rsidR="00745E63">
        <w:rPr>
          <w:lang w:val="en-GB"/>
        </w:rPr>
        <w:t xml:space="preserve"> Despite the fact that the applicants </w:t>
      </w:r>
      <w:r w:rsidRPr="00E116B6" w:rsidR="00FF462F">
        <w:rPr>
          <w:lang w:val="en-GB"/>
        </w:rPr>
        <w:t xml:space="preserve">had </w:t>
      </w:r>
      <w:r w:rsidRPr="00E116B6" w:rsidR="00745E63">
        <w:rPr>
          <w:lang w:val="en-GB"/>
        </w:rPr>
        <w:t>duly voiced all those</w:t>
      </w:r>
      <w:r w:rsidRPr="00E116B6" w:rsidR="00C040B0">
        <w:rPr>
          <w:lang w:val="en-GB"/>
        </w:rPr>
        <w:t xml:space="preserve"> serious</w:t>
      </w:r>
      <w:r w:rsidRPr="00E116B6" w:rsidR="00745E63">
        <w:rPr>
          <w:lang w:val="en-GB"/>
        </w:rPr>
        <w:t xml:space="preserve"> gri</w:t>
      </w:r>
      <w:r w:rsidRPr="00E116B6" w:rsidR="00FF462F">
        <w:rPr>
          <w:lang w:val="en-GB"/>
        </w:rPr>
        <w:t>e</w:t>
      </w:r>
      <w:r w:rsidRPr="00E116B6" w:rsidR="00745E63">
        <w:rPr>
          <w:lang w:val="en-GB"/>
        </w:rPr>
        <w:t xml:space="preserve">vances </w:t>
      </w:r>
      <w:r w:rsidRPr="00E116B6" w:rsidR="00320900">
        <w:rPr>
          <w:lang w:val="en-GB"/>
        </w:rPr>
        <w:t xml:space="preserve">to </w:t>
      </w:r>
      <w:r w:rsidRPr="00E116B6" w:rsidR="00745E63">
        <w:rPr>
          <w:lang w:val="en-GB"/>
        </w:rPr>
        <w:t>the investigative, prosecuti</w:t>
      </w:r>
      <w:r w:rsidRPr="00E116B6" w:rsidR="006555F4">
        <w:rPr>
          <w:lang w:val="en-GB"/>
        </w:rPr>
        <w:t xml:space="preserve">on </w:t>
      </w:r>
      <w:r w:rsidRPr="00E116B6" w:rsidR="00745E63">
        <w:rPr>
          <w:lang w:val="en-GB"/>
        </w:rPr>
        <w:t xml:space="preserve">and judicial authorities, </w:t>
      </w:r>
      <w:r w:rsidRPr="00E116B6" w:rsidR="00387B3C">
        <w:rPr>
          <w:lang w:val="en-GB"/>
        </w:rPr>
        <w:t xml:space="preserve">and </w:t>
      </w:r>
      <w:r w:rsidRPr="00E116B6" w:rsidR="00F21012">
        <w:rPr>
          <w:lang w:val="en-GB"/>
        </w:rPr>
        <w:t xml:space="preserve">even </w:t>
      </w:r>
      <w:r w:rsidRPr="00E116B6" w:rsidR="00745E63">
        <w:rPr>
          <w:lang w:val="en-GB"/>
        </w:rPr>
        <w:t>played a</w:t>
      </w:r>
      <w:r w:rsidRPr="00E116B6" w:rsidR="00FF462F">
        <w:rPr>
          <w:lang w:val="en-GB"/>
        </w:rPr>
        <w:t xml:space="preserve"> secret recording of an attempt to bribe the first applicant</w:t>
      </w:r>
      <w:r w:rsidRPr="00E116B6" w:rsidR="00E116B6">
        <w:rPr>
          <w:lang w:val="en-GB"/>
        </w:rPr>
        <w:t>’</w:t>
      </w:r>
      <w:r w:rsidRPr="00E116B6" w:rsidR="00FF462F">
        <w:rPr>
          <w:lang w:val="en-GB"/>
        </w:rPr>
        <w:t>s wife</w:t>
      </w:r>
      <w:r w:rsidRPr="00E116B6" w:rsidR="00F21012">
        <w:rPr>
          <w:lang w:val="en-GB"/>
        </w:rPr>
        <w:t xml:space="preserve"> </w:t>
      </w:r>
      <w:r w:rsidRPr="00E116B6" w:rsidR="00BD58B1">
        <w:rPr>
          <w:lang w:val="en-GB"/>
        </w:rPr>
        <w:t xml:space="preserve">to </w:t>
      </w:r>
      <w:r w:rsidRPr="00E116B6" w:rsidR="00387B3C">
        <w:rPr>
          <w:lang w:val="en-GB"/>
        </w:rPr>
        <w:t xml:space="preserve">the trial court </w:t>
      </w:r>
      <w:r w:rsidRPr="00E116B6" w:rsidR="00F21012">
        <w:rPr>
          <w:lang w:val="en-GB"/>
        </w:rPr>
        <w:t xml:space="preserve">(see paragraph </w:t>
      </w:r>
      <w:r w:rsidRPr="00E116B6" w:rsidR="008E637F">
        <w:rPr>
          <w:lang w:val="en-GB"/>
        </w:rPr>
        <w:fldChar w:fldCharType="begin"/>
      </w:r>
      <w:r w:rsidRPr="00E116B6" w:rsidR="008E637F">
        <w:rPr>
          <w:lang w:val="en-GB"/>
        </w:rPr>
        <w:instrText xml:space="preserve"> REF playingofvideo \h </w:instrText>
      </w:r>
      <w:r w:rsidRPr="00E116B6" w:rsidR="008E637F">
        <w:rPr>
          <w:lang w:val="en-GB"/>
        </w:rPr>
      </w:r>
      <w:r w:rsidRPr="00E116B6" w:rsidR="008E637F">
        <w:rPr>
          <w:lang w:val="en-GB"/>
        </w:rPr>
        <w:fldChar w:fldCharType="separate"/>
      </w:r>
      <w:r w:rsidRPr="00E116B6" w:rsidR="00E116B6">
        <w:rPr>
          <w:noProof/>
          <w:lang w:val="en-GB"/>
        </w:rPr>
        <w:t>71</w:t>
      </w:r>
      <w:r w:rsidRPr="00E116B6" w:rsidR="008E637F">
        <w:rPr>
          <w:lang w:val="en-GB"/>
        </w:rPr>
        <w:fldChar w:fldCharType="end"/>
      </w:r>
      <w:r w:rsidRPr="00E116B6" w:rsidR="008E637F">
        <w:rPr>
          <w:lang w:val="en-GB"/>
        </w:rPr>
        <w:t xml:space="preserve"> </w:t>
      </w:r>
      <w:r w:rsidRPr="00E116B6" w:rsidR="00F21012">
        <w:rPr>
          <w:lang w:val="en-GB"/>
        </w:rPr>
        <w:t>above)</w:t>
      </w:r>
      <w:r w:rsidRPr="00E116B6" w:rsidR="00FF462F">
        <w:rPr>
          <w:lang w:val="en-GB"/>
        </w:rPr>
        <w:t>, the authorities remained</w:t>
      </w:r>
      <w:r w:rsidRPr="00E116B6" w:rsidR="0074526A">
        <w:rPr>
          <w:lang w:val="en-GB"/>
        </w:rPr>
        <w:t xml:space="preserve"> conspicuously</w:t>
      </w:r>
      <w:r w:rsidRPr="00E116B6" w:rsidR="00FF462F">
        <w:rPr>
          <w:lang w:val="en-GB"/>
        </w:rPr>
        <w:t xml:space="preserve"> indifferent to </w:t>
      </w:r>
      <w:r w:rsidRPr="00E116B6" w:rsidR="00387B3C">
        <w:rPr>
          <w:lang w:val="en-GB"/>
        </w:rPr>
        <w:t xml:space="preserve">what were </w:t>
      </w:r>
      <w:r w:rsidRPr="00E116B6" w:rsidR="00FF462F">
        <w:rPr>
          <w:lang w:val="en-GB"/>
        </w:rPr>
        <w:t>well</w:t>
      </w:r>
      <w:r w:rsidRPr="00E116B6" w:rsidR="000D22D4">
        <w:rPr>
          <w:lang w:val="en-GB"/>
        </w:rPr>
        <w:noBreakHyphen/>
      </w:r>
      <w:r w:rsidRPr="00E116B6" w:rsidR="00FF462F">
        <w:rPr>
          <w:lang w:val="en-GB"/>
        </w:rPr>
        <w:t xml:space="preserve">documented allegations of </w:t>
      </w:r>
      <w:r w:rsidRPr="00E116B6" w:rsidR="00387B3C">
        <w:rPr>
          <w:lang w:val="en-GB"/>
        </w:rPr>
        <w:t>the victim</w:t>
      </w:r>
      <w:r w:rsidRPr="00E116B6" w:rsidR="00E116B6">
        <w:rPr>
          <w:lang w:val="en-GB"/>
        </w:rPr>
        <w:t>’</w:t>
      </w:r>
      <w:r w:rsidRPr="00E116B6" w:rsidR="003601F0">
        <w:rPr>
          <w:lang w:val="en-GB"/>
        </w:rPr>
        <w:t>s</w:t>
      </w:r>
      <w:r w:rsidRPr="00E116B6" w:rsidR="00387B3C">
        <w:rPr>
          <w:lang w:val="en-GB"/>
        </w:rPr>
        <w:t xml:space="preserve"> </w:t>
      </w:r>
      <w:r w:rsidRPr="00E116B6" w:rsidR="00FF462F">
        <w:rPr>
          <w:lang w:val="en-GB"/>
        </w:rPr>
        <w:t>perverting the course of justice.</w:t>
      </w:r>
    </w:p>
    <w:p w:rsidRPr="00E116B6" w:rsidR="005775EE" w:rsidP="00E116B6" w:rsidRDefault="00F21012">
      <w:pPr>
        <w:pStyle w:val="ECHRPara"/>
        <w:rPr>
          <w:rFonts w:cstheme="minorHAnsi"/>
          <w:snapToGrid w:val="0"/>
          <w:szCs w:val="24"/>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145</w:t>
      </w:r>
      <w:r w:rsidRPr="00E116B6">
        <w:rPr>
          <w:lang w:val="en-GB"/>
        </w:rPr>
        <w:fldChar w:fldCharType="end"/>
      </w:r>
      <w:r w:rsidRPr="00E116B6">
        <w:rPr>
          <w:lang w:val="en-GB"/>
        </w:rPr>
        <w:t>.  Since the domestic authorities failed to react adequately, by launching, for instance, an investigati</w:t>
      </w:r>
      <w:r w:rsidRPr="00E116B6" w:rsidR="006555F4">
        <w:rPr>
          <w:lang w:val="en-GB"/>
        </w:rPr>
        <w:t xml:space="preserve">on </w:t>
      </w:r>
      <w:r w:rsidRPr="00E116B6" w:rsidR="00387B3C">
        <w:rPr>
          <w:lang w:val="en-GB"/>
        </w:rPr>
        <w:t>in</w:t>
      </w:r>
      <w:r w:rsidRPr="00E116B6">
        <w:rPr>
          <w:lang w:val="en-GB"/>
        </w:rPr>
        <w:t>to the applicants</w:t>
      </w:r>
      <w:r w:rsidRPr="00E116B6" w:rsidR="00E116B6">
        <w:rPr>
          <w:lang w:val="en-GB"/>
        </w:rPr>
        <w:t>’</w:t>
      </w:r>
      <w:r w:rsidRPr="00E116B6">
        <w:rPr>
          <w:lang w:val="en-GB"/>
        </w:rPr>
        <w:t xml:space="preserve"> serious allegations about interference with their defence</w:t>
      </w:r>
      <w:r w:rsidRPr="00E116B6" w:rsidR="00387B3C">
        <w:rPr>
          <w:lang w:val="en-GB"/>
        </w:rPr>
        <w:t xml:space="preserve"> rights</w:t>
      </w:r>
      <w:r w:rsidRPr="00E116B6">
        <w:rPr>
          <w:lang w:val="en-GB"/>
        </w:rPr>
        <w:t xml:space="preserve"> </w:t>
      </w:r>
      <w:r w:rsidRPr="00E116B6" w:rsidR="00BD58B1">
        <w:rPr>
          <w:lang w:val="en-GB"/>
        </w:rPr>
        <w:t xml:space="preserve">and </w:t>
      </w:r>
      <w:r w:rsidRPr="00E116B6">
        <w:rPr>
          <w:lang w:val="en-GB"/>
        </w:rPr>
        <w:t>the threats and brib</w:t>
      </w:r>
      <w:r w:rsidRPr="00E116B6" w:rsidR="00387B3C">
        <w:rPr>
          <w:lang w:val="en-GB"/>
        </w:rPr>
        <w:t xml:space="preserve">ery </w:t>
      </w:r>
      <w:r w:rsidRPr="00E116B6">
        <w:rPr>
          <w:lang w:val="en-GB"/>
        </w:rPr>
        <w:t>attempts orchestrated by the victim, who was indeed a powerful public pers</w:t>
      </w:r>
      <w:r w:rsidRPr="00E116B6" w:rsidR="006555F4">
        <w:rPr>
          <w:lang w:val="en-GB"/>
        </w:rPr>
        <w:t xml:space="preserve">on </w:t>
      </w:r>
      <w:r w:rsidRPr="00E116B6">
        <w:rPr>
          <w:lang w:val="en-GB"/>
        </w:rPr>
        <w:t>at th</w:t>
      </w:r>
      <w:r w:rsidRPr="00E116B6" w:rsidR="00387B3C">
        <w:rPr>
          <w:lang w:val="en-GB"/>
        </w:rPr>
        <w:t>e</w:t>
      </w:r>
      <w:r w:rsidRPr="00E116B6">
        <w:rPr>
          <w:lang w:val="en-GB"/>
        </w:rPr>
        <w:t xml:space="preserve"> time, the Court is of the opini</w:t>
      </w:r>
      <w:r w:rsidRPr="00E116B6" w:rsidR="006555F4">
        <w:rPr>
          <w:lang w:val="en-GB"/>
        </w:rPr>
        <w:t xml:space="preserve">on </w:t>
      </w:r>
      <w:r w:rsidRPr="00E116B6">
        <w:rPr>
          <w:lang w:val="en-GB"/>
        </w:rPr>
        <w:t xml:space="preserve">that </w:t>
      </w:r>
      <w:r w:rsidRPr="00E116B6" w:rsidR="00387B3C">
        <w:rPr>
          <w:lang w:val="en-GB"/>
        </w:rPr>
        <w:t xml:space="preserve">the </w:t>
      </w:r>
      <w:r w:rsidRPr="00E116B6">
        <w:rPr>
          <w:lang w:val="en-GB"/>
        </w:rPr>
        <w:t xml:space="preserve">probative value of the </w:t>
      </w:r>
      <w:r w:rsidRPr="00E116B6" w:rsidR="00387B3C">
        <w:rPr>
          <w:lang w:val="en-GB"/>
        </w:rPr>
        <w:t>victim</w:t>
      </w:r>
      <w:r w:rsidRPr="00E116B6" w:rsidR="00E116B6">
        <w:rPr>
          <w:lang w:val="en-GB"/>
        </w:rPr>
        <w:t>’</w:t>
      </w:r>
      <w:r w:rsidRPr="00E116B6" w:rsidR="00387B3C">
        <w:rPr>
          <w:lang w:val="en-GB"/>
        </w:rPr>
        <w:t xml:space="preserve">s </w:t>
      </w:r>
      <w:r w:rsidRPr="00E116B6">
        <w:rPr>
          <w:lang w:val="en-GB"/>
        </w:rPr>
        <w:t xml:space="preserve">statements to the trial court was manifestly low. It was thus hardly appropriate for the domestic courts </w:t>
      </w:r>
      <w:r w:rsidRPr="00E116B6" w:rsidR="00387B3C">
        <w:rPr>
          <w:lang w:val="en-GB"/>
        </w:rPr>
        <w:t xml:space="preserve">simply </w:t>
      </w:r>
      <w:r w:rsidRPr="00E116B6">
        <w:rPr>
          <w:lang w:val="en-GB"/>
        </w:rPr>
        <w:t xml:space="preserve">to </w:t>
      </w:r>
      <w:r w:rsidRPr="00E116B6" w:rsidR="00387B3C">
        <w:rPr>
          <w:lang w:val="en-GB"/>
        </w:rPr>
        <w:t xml:space="preserve">accept </w:t>
      </w:r>
      <w:r w:rsidRPr="00E116B6">
        <w:rPr>
          <w:lang w:val="en-GB"/>
        </w:rPr>
        <w:t xml:space="preserve">those clearly tainted statements </w:t>
      </w:r>
      <w:r w:rsidRPr="00E116B6" w:rsidR="00BD58B1">
        <w:rPr>
          <w:lang w:val="en-GB"/>
        </w:rPr>
        <w:t xml:space="preserve">for </w:t>
      </w:r>
      <w:r w:rsidRPr="00E116B6">
        <w:rPr>
          <w:lang w:val="en-GB"/>
        </w:rPr>
        <w:t>convicti</w:t>
      </w:r>
      <w:r w:rsidRPr="00E116B6" w:rsidR="006555F4">
        <w:rPr>
          <w:lang w:val="en-GB"/>
        </w:rPr>
        <w:t xml:space="preserve">on </w:t>
      </w:r>
      <w:r w:rsidRPr="00E116B6">
        <w:rPr>
          <w:lang w:val="en-GB"/>
        </w:rPr>
        <w:t xml:space="preserve">(see, </w:t>
      </w:r>
      <w:r w:rsidRPr="00E116B6">
        <w:rPr>
          <w:i/>
          <w:lang w:val="en-GB"/>
        </w:rPr>
        <w:t>mutatis mutandis</w:t>
      </w:r>
      <w:r w:rsidRPr="00E116B6">
        <w:rPr>
          <w:lang w:val="en-GB"/>
        </w:rPr>
        <w:t xml:space="preserve">, </w:t>
      </w:r>
      <w:r w:rsidRPr="00E116B6">
        <w:rPr>
          <w:i/>
          <w:lang w:val="en-GB"/>
        </w:rPr>
        <w:t>Grigoryev v.</w:t>
      </w:r>
      <w:r w:rsidRPr="00E116B6" w:rsidR="0000400E">
        <w:rPr>
          <w:i/>
          <w:lang w:val="en-GB"/>
        </w:rPr>
        <w:t> </w:t>
      </w:r>
      <w:r w:rsidRPr="00E116B6">
        <w:rPr>
          <w:i/>
          <w:lang w:val="en-GB"/>
        </w:rPr>
        <w:t>Ukraine</w:t>
      </w:r>
      <w:r w:rsidRPr="00E116B6">
        <w:rPr>
          <w:lang w:val="en-GB"/>
        </w:rPr>
        <w:t>, no. 51671/07</w:t>
      </w:r>
      <w:r w:rsidRPr="00E116B6">
        <w:rPr>
          <w:snapToGrid w:val="0"/>
          <w:szCs w:val="24"/>
          <w:lang w:val="en-GB"/>
        </w:rPr>
        <w:t>, §</w:t>
      </w:r>
      <w:r w:rsidRPr="00E116B6" w:rsidR="00612A6B">
        <w:rPr>
          <w:rFonts w:cstheme="minorHAnsi"/>
          <w:snapToGrid w:val="0"/>
          <w:szCs w:val="24"/>
          <w:lang w:val="en-GB"/>
        </w:rPr>
        <w:t>§</w:t>
      </w:r>
      <w:r w:rsidRPr="00E116B6" w:rsidR="00612A6B">
        <w:rPr>
          <w:snapToGrid w:val="0"/>
          <w:szCs w:val="24"/>
          <w:lang w:val="en-GB"/>
        </w:rPr>
        <w:t xml:space="preserve"> 86</w:t>
      </w:r>
      <w:r w:rsidRPr="00E116B6">
        <w:rPr>
          <w:snapToGrid w:val="0"/>
          <w:szCs w:val="24"/>
          <w:lang w:val="en-GB"/>
        </w:rPr>
        <w:t>, 15 May 2012</w:t>
      </w:r>
      <w:r w:rsidRPr="00E116B6" w:rsidR="00612A6B">
        <w:rPr>
          <w:snapToGrid w:val="0"/>
          <w:szCs w:val="24"/>
          <w:lang w:val="en-GB"/>
        </w:rPr>
        <w:t>)</w:t>
      </w:r>
      <w:r w:rsidRPr="00E116B6">
        <w:rPr>
          <w:rFonts w:cstheme="minorHAnsi"/>
          <w:snapToGrid w:val="0"/>
          <w:szCs w:val="24"/>
          <w:lang w:val="en-GB"/>
        </w:rPr>
        <w:t>.</w:t>
      </w:r>
    </w:p>
    <w:p w:rsidRPr="00E116B6" w:rsidR="001B7EC9" w:rsidP="00E116B6" w:rsidRDefault="005775EE">
      <w:pPr>
        <w:pStyle w:val="ECHRPara"/>
        <w:rPr>
          <w:rFonts w:cstheme="minorHAnsi"/>
          <w:snapToGrid w:val="0"/>
          <w:szCs w:val="24"/>
          <w:lang w:val="en-GB"/>
        </w:rPr>
      </w:pPr>
      <w:r w:rsidRPr="00E116B6">
        <w:rPr>
          <w:rFonts w:cstheme="minorHAnsi"/>
          <w:snapToGrid w:val="0"/>
          <w:szCs w:val="24"/>
          <w:lang w:val="en-GB"/>
        </w:rPr>
        <w:fldChar w:fldCharType="begin"/>
      </w:r>
      <w:r w:rsidRPr="00E116B6">
        <w:rPr>
          <w:rFonts w:cstheme="minorHAnsi"/>
          <w:snapToGrid w:val="0"/>
          <w:szCs w:val="24"/>
          <w:lang w:val="en-GB"/>
        </w:rPr>
        <w:instrText xml:space="preserve"> SEQ level0 \*arabic </w:instrText>
      </w:r>
      <w:r w:rsidRPr="00E116B6">
        <w:rPr>
          <w:rFonts w:cstheme="minorHAnsi"/>
          <w:snapToGrid w:val="0"/>
          <w:szCs w:val="24"/>
          <w:lang w:val="en-GB"/>
        </w:rPr>
        <w:fldChar w:fldCharType="separate"/>
      </w:r>
      <w:r w:rsidRPr="00E116B6" w:rsidR="00E116B6">
        <w:rPr>
          <w:rFonts w:cstheme="minorHAnsi"/>
          <w:noProof/>
          <w:snapToGrid w:val="0"/>
          <w:szCs w:val="24"/>
          <w:lang w:val="en-GB"/>
        </w:rPr>
        <w:t>146</w:t>
      </w:r>
      <w:r w:rsidRPr="00E116B6">
        <w:rPr>
          <w:rFonts w:cstheme="minorHAnsi"/>
          <w:snapToGrid w:val="0"/>
          <w:szCs w:val="24"/>
          <w:lang w:val="en-GB"/>
        </w:rPr>
        <w:fldChar w:fldCharType="end"/>
      </w:r>
      <w:r w:rsidRPr="00E116B6">
        <w:rPr>
          <w:rFonts w:cstheme="minorHAnsi"/>
          <w:snapToGrid w:val="0"/>
          <w:szCs w:val="24"/>
          <w:lang w:val="en-GB"/>
        </w:rPr>
        <w:t>.  </w:t>
      </w:r>
      <w:r w:rsidRPr="00E116B6" w:rsidR="00331222">
        <w:rPr>
          <w:rFonts w:cstheme="minorHAnsi"/>
          <w:snapToGrid w:val="0"/>
          <w:szCs w:val="24"/>
          <w:lang w:val="en-GB"/>
        </w:rPr>
        <w:t>In the light of the foregoing</w:t>
      </w:r>
      <w:r w:rsidRPr="00E116B6" w:rsidR="00BD58B1">
        <w:rPr>
          <w:rFonts w:cstheme="minorHAnsi"/>
          <w:snapToGrid w:val="0"/>
          <w:szCs w:val="24"/>
          <w:lang w:val="en-GB"/>
        </w:rPr>
        <w:t xml:space="preserve"> considerations</w:t>
      </w:r>
      <w:r w:rsidRPr="00E116B6" w:rsidR="00331222">
        <w:rPr>
          <w:rFonts w:cstheme="minorHAnsi"/>
          <w:snapToGrid w:val="0"/>
          <w:szCs w:val="24"/>
          <w:lang w:val="en-GB"/>
        </w:rPr>
        <w:t>, the Court concludes that all the above-mentioned serious procedural irregularities rendered the trial against the applicant</w:t>
      </w:r>
      <w:r w:rsidRPr="00E116B6" w:rsidR="00DF43F4">
        <w:rPr>
          <w:rFonts w:cstheme="minorHAnsi"/>
          <w:snapToGrid w:val="0"/>
          <w:szCs w:val="24"/>
          <w:lang w:val="en-GB"/>
        </w:rPr>
        <w:t>s</w:t>
      </w:r>
      <w:r w:rsidRPr="00E116B6" w:rsidR="00331222">
        <w:rPr>
          <w:rFonts w:cstheme="minorHAnsi"/>
          <w:snapToGrid w:val="0"/>
          <w:szCs w:val="24"/>
          <w:lang w:val="en-GB"/>
        </w:rPr>
        <w:t xml:space="preserve"> unfair</w:t>
      </w:r>
      <w:r w:rsidRPr="00E116B6" w:rsidR="00BD58B1">
        <w:rPr>
          <w:rFonts w:cstheme="minorHAnsi"/>
          <w:snapToGrid w:val="0"/>
          <w:szCs w:val="24"/>
          <w:lang w:val="en-GB"/>
        </w:rPr>
        <w:t xml:space="preserve"> as a whole</w:t>
      </w:r>
      <w:r w:rsidRPr="00E116B6" w:rsidR="00331222">
        <w:rPr>
          <w:rFonts w:cstheme="minorHAnsi"/>
          <w:snapToGrid w:val="0"/>
          <w:szCs w:val="24"/>
          <w:lang w:val="en-GB"/>
        </w:rPr>
        <w:t>. There has accordingly been a breach of Article 6 § 1 of the Convention.</w:t>
      </w:r>
    </w:p>
    <w:p w:rsidRPr="00E116B6" w:rsidR="00501845" w:rsidP="00E116B6" w:rsidRDefault="00114E41">
      <w:pPr>
        <w:pStyle w:val="ECHRHeading1"/>
        <w:rPr>
          <w:lang w:val="en-GB"/>
        </w:rPr>
      </w:pPr>
      <w:r w:rsidRPr="00E116B6">
        <w:rPr>
          <w:lang w:val="en-GB"/>
        </w:rPr>
        <w:t>VI</w:t>
      </w:r>
      <w:r w:rsidRPr="00E116B6" w:rsidR="00501845">
        <w:rPr>
          <w:lang w:val="en-GB"/>
        </w:rPr>
        <w:t>.  OTHER ALLEGED VIOLATIONS OF THE CONVENTION</w:t>
      </w:r>
    </w:p>
    <w:p w:rsidRPr="00E116B6" w:rsidR="006D7FFB" w:rsidP="00E116B6" w:rsidRDefault="002B12FA">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147</w:t>
      </w:r>
      <w:r w:rsidRPr="00E116B6">
        <w:rPr>
          <w:lang w:val="en-GB"/>
        </w:rPr>
        <w:fldChar w:fldCharType="end"/>
      </w:r>
      <w:r w:rsidRPr="00E116B6">
        <w:rPr>
          <w:lang w:val="en-GB"/>
        </w:rPr>
        <w:t>.  </w:t>
      </w:r>
      <w:r w:rsidRPr="00E116B6" w:rsidR="00501845">
        <w:rPr>
          <w:lang w:val="en-GB"/>
        </w:rPr>
        <w:t>The</w:t>
      </w:r>
      <w:r w:rsidRPr="00E116B6" w:rsidR="00151CAD">
        <w:rPr>
          <w:lang w:val="en-GB"/>
        </w:rPr>
        <w:t xml:space="preserve"> first applicant reiterated </w:t>
      </w:r>
      <w:r w:rsidRPr="00E116B6" w:rsidR="00387B3C">
        <w:rPr>
          <w:lang w:val="en-GB"/>
        </w:rPr>
        <w:t xml:space="preserve">his </w:t>
      </w:r>
      <w:r w:rsidRPr="00E116B6" w:rsidR="00151CAD">
        <w:rPr>
          <w:lang w:val="en-GB"/>
        </w:rPr>
        <w:t>complaint about</w:t>
      </w:r>
      <w:r w:rsidRPr="00E116B6" w:rsidR="003033F0">
        <w:rPr>
          <w:lang w:val="en-GB"/>
        </w:rPr>
        <w:t xml:space="preserve"> the</w:t>
      </w:r>
      <w:r w:rsidRPr="00E116B6" w:rsidR="00151CAD">
        <w:rPr>
          <w:lang w:val="en-GB"/>
        </w:rPr>
        <w:t xml:space="preserve"> ill</w:t>
      </w:r>
      <w:r w:rsidRPr="00E116B6" w:rsidR="00DE0DB3">
        <w:rPr>
          <w:lang w:val="en-GB"/>
        </w:rPr>
        <w:noBreakHyphen/>
      </w:r>
      <w:r w:rsidRPr="00E116B6" w:rsidR="00151CAD">
        <w:rPr>
          <w:lang w:val="en-GB"/>
        </w:rPr>
        <w:t xml:space="preserve">treatment </w:t>
      </w:r>
      <w:r w:rsidRPr="00E116B6" w:rsidR="006555F4">
        <w:rPr>
          <w:lang w:val="en-GB"/>
        </w:rPr>
        <w:t xml:space="preserve">on </w:t>
      </w:r>
      <w:r w:rsidRPr="00E116B6" w:rsidR="00151CAD">
        <w:rPr>
          <w:lang w:val="en-GB"/>
        </w:rPr>
        <w:t>13</w:t>
      </w:r>
      <w:r w:rsidRPr="00E116B6" w:rsidR="0000400E">
        <w:rPr>
          <w:lang w:val="en-GB"/>
        </w:rPr>
        <w:t> </w:t>
      </w:r>
      <w:r w:rsidRPr="00E116B6" w:rsidR="00151CAD">
        <w:rPr>
          <w:lang w:val="en-GB"/>
        </w:rPr>
        <w:t>May 2004 and the lack of an adequate investigati</w:t>
      </w:r>
      <w:r w:rsidRPr="00E116B6" w:rsidR="006555F4">
        <w:rPr>
          <w:lang w:val="en-GB"/>
        </w:rPr>
        <w:t xml:space="preserve">on </w:t>
      </w:r>
      <w:r w:rsidRPr="00E116B6" w:rsidR="00151CAD">
        <w:rPr>
          <w:lang w:val="en-GB"/>
        </w:rPr>
        <w:t>under Article</w:t>
      </w:r>
      <w:r w:rsidRPr="00E116B6" w:rsidR="00DE0DB3">
        <w:rPr>
          <w:lang w:val="en-GB"/>
        </w:rPr>
        <w:t> </w:t>
      </w:r>
      <w:r w:rsidRPr="00E116B6" w:rsidR="00151CAD">
        <w:rPr>
          <w:lang w:val="en-GB"/>
        </w:rPr>
        <w:t>13</w:t>
      </w:r>
      <w:r w:rsidRPr="00E116B6" w:rsidR="00195829">
        <w:rPr>
          <w:lang w:val="en-GB"/>
        </w:rPr>
        <w:t> </w:t>
      </w:r>
      <w:r w:rsidRPr="00E116B6" w:rsidR="00151CAD">
        <w:rPr>
          <w:lang w:val="en-GB"/>
        </w:rPr>
        <w:t>of the Convention.</w:t>
      </w:r>
      <w:r w:rsidRPr="00E116B6" w:rsidR="00017CFF">
        <w:rPr>
          <w:lang w:val="en-GB"/>
        </w:rPr>
        <w:t xml:space="preserve"> </w:t>
      </w:r>
      <w:r w:rsidRPr="00E116B6" w:rsidR="00151CAD">
        <w:rPr>
          <w:lang w:val="en-GB"/>
        </w:rPr>
        <w:t>Both</w:t>
      </w:r>
      <w:r w:rsidRPr="00E116B6" w:rsidR="00501845">
        <w:rPr>
          <w:lang w:val="en-GB"/>
        </w:rPr>
        <w:t xml:space="preserve"> applicants further complained that the criminal proceedings against them had been unfair </w:t>
      </w:r>
      <w:r w:rsidRPr="00E116B6" w:rsidR="00017CFF">
        <w:rPr>
          <w:lang w:val="en-GB"/>
        </w:rPr>
        <w:t>in their entirety</w:t>
      </w:r>
      <w:r w:rsidRPr="00E116B6" w:rsidR="006B3AE1">
        <w:rPr>
          <w:lang w:val="en-GB"/>
        </w:rPr>
        <w:t xml:space="preserve"> </w:t>
      </w:r>
      <w:r w:rsidRPr="00E116B6" w:rsidR="006555F4">
        <w:rPr>
          <w:lang w:val="en-GB"/>
        </w:rPr>
        <w:t xml:space="preserve">on </w:t>
      </w:r>
      <w:r w:rsidRPr="00E116B6" w:rsidR="00501845">
        <w:rPr>
          <w:lang w:val="en-GB"/>
        </w:rPr>
        <w:t xml:space="preserve">account of </w:t>
      </w:r>
      <w:r w:rsidRPr="00E116B6" w:rsidR="006B3AE1">
        <w:rPr>
          <w:lang w:val="en-GB"/>
        </w:rPr>
        <w:t>the first applicant</w:t>
      </w:r>
      <w:r w:rsidRPr="00E116B6" w:rsidR="00E116B6">
        <w:rPr>
          <w:lang w:val="en-GB"/>
        </w:rPr>
        <w:t>’</w:t>
      </w:r>
      <w:r w:rsidRPr="00E116B6" w:rsidR="006B3AE1">
        <w:rPr>
          <w:lang w:val="en-GB"/>
        </w:rPr>
        <w:t xml:space="preserve">s </w:t>
      </w:r>
      <w:r w:rsidRPr="00E116B6" w:rsidR="00501845">
        <w:rPr>
          <w:lang w:val="en-GB"/>
        </w:rPr>
        <w:t xml:space="preserve">inability to benefit from the assistance of </w:t>
      </w:r>
      <w:r w:rsidRPr="00E116B6" w:rsidR="006B3AE1">
        <w:rPr>
          <w:lang w:val="en-GB"/>
        </w:rPr>
        <w:t xml:space="preserve">a </w:t>
      </w:r>
      <w:r w:rsidRPr="00E116B6" w:rsidR="00501845">
        <w:rPr>
          <w:lang w:val="en-GB"/>
        </w:rPr>
        <w:t xml:space="preserve">lawyer of </w:t>
      </w:r>
      <w:r w:rsidRPr="00E116B6" w:rsidR="006B3AE1">
        <w:rPr>
          <w:lang w:val="en-GB"/>
        </w:rPr>
        <w:t xml:space="preserve">his </w:t>
      </w:r>
      <w:r w:rsidRPr="00E116B6" w:rsidR="00501845">
        <w:rPr>
          <w:lang w:val="en-GB"/>
        </w:rPr>
        <w:t xml:space="preserve">choice during </w:t>
      </w:r>
      <w:r w:rsidRPr="00E116B6" w:rsidR="006B3AE1">
        <w:rPr>
          <w:lang w:val="en-GB"/>
        </w:rPr>
        <w:t xml:space="preserve">his </w:t>
      </w:r>
      <w:r w:rsidRPr="00E116B6" w:rsidR="00501845">
        <w:rPr>
          <w:lang w:val="en-GB"/>
        </w:rPr>
        <w:t>first questioning</w:t>
      </w:r>
      <w:r w:rsidRPr="00E116B6" w:rsidR="003033F0">
        <w:rPr>
          <w:lang w:val="en-GB"/>
        </w:rPr>
        <w:t xml:space="preserve"> and subsequent detenti</w:t>
      </w:r>
      <w:r w:rsidRPr="00E116B6" w:rsidR="006555F4">
        <w:rPr>
          <w:lang w:val="en-GB"/>
        </w:rPr>
        <w:t xml:space="preserve">on </w:t>
      </w:r>
      <w:r w:rsidRPr="00E116B6" w:rsidR="003033F0">
        <w:rPr>
          <w:lang w:val="en-GB"/>
        </w:rPr>
        <w:t>in Tbilisi police headquarters</w:t>
      </w:r>
      <w:r w:rsidRPr="00E116B6" w:rsidR="00501845">
        <w:rPr>
          <w:lang w:val="en-GB"/>
        </w:rPr>
        <w:t>. They cited</w:t>
      </w:r>
      <w:r w:rsidRPr="00E116B6" w:rsidR="00331222">
        <w:rPr>
          <w:lang w:val="en-GB"/>
        </w:rPr>
        <w:t>, in this respect,</w:t>
      </w:r>
      <w:r w:rsidRPr="00E116B6" w:rsidR="00501845">
        <w:rPr>
          <w:lang w:val="en-GB"/>
        </w:rPr>
        <w:t xml:space="preserve"> Article</w:t>
      </w:r>
      <w:r w:rsidRPr="00E116B6" w:rsidR="00DE0DB3">
        <w:rPr>
          <w:lang w:val="en-GB"/>
        </w:rPr>
        <w:t> </w:t>
      </w:r>
      <w:r w:rsidRPr="00E116B6" w:rsidR="00501845">
        <w:rPr>
          <w:lang w:val="en-GB"/>
        </w:rPr>
        <w:t xml:space="preserve">6 </w:t>
      </w:r>
      <w:r w:rsidRPr="00E116B6" w:rsidR="00501845">
        <w:rPr>
          <w:rFonts w:cstheme="minorHAnsi"/>
          <w:lang w:val="en-GB"/>
        </w:rPr>
        <w:t>§</w:t>
      </w:r>
      <w:r w:rsidRPr="00E116B6" w:rsidR="00DE0DB3">
        <w:rPr>
          <w:lang w:val="en-GB"/>
        </w:rPr>
        <w:t> </w:t>
      </w:r>
      <w:r w:rsidRPr="00E116B6" w:rsidR="00501845">
        <w:rPr>
          <w:lang w:val="en-GB"/>
        </w:rPr>
        <w:t>3</w:t>
      </w:r>
      <w:r w:rsidRPr="00E116B6" w:rsidR="00DE0DB3">
        <w:rPr>
          <w:lang w:val="en-GB"/>
        </w:rPr>
        <w:t> </w:t>
      </w:r>
      <w:r w:rsidRPr="00E116B6" w:rsidR="00501845">
        <w:rPr>
          <w:lang w:val="en-GB"/>
        </w:rPr>
        <w:t>(c) of the Conventi</w:t>
      </w:r>
      <w:r w:rsidRPr="00E116B6" w:rsidR="006555F4">
        <w:rPr>
          <w:lang w:val="en-GB"/>
        </w:rPr>
        <w:t xml:space="preserve">on </w:t>
      </w:r>
      <w:r w:rsidRPr="00E116B6" w:rsidR="00501845">
        <w:rPr>
          <w:lang w:val="en-GB"/>
        </w:rPr>
        <w:t>in conjuncti</w:t>
      </w:r>
      <w:r w:rsidRPr="00E116B6" w:rsidR="006555F4">
        <w:rPr>
          <w:lang w:val="en-GB"/>
        </w:rPr>
        <w:t xml:space="preserve">on </w:t>
      </w:r>
      <w:r w:rsidRPr="00E116B6" w:rsidR="00501845">
        <w:rPr>
          <w:lang w:val="en-GB"/>
        </w:rPr>
        <w:t xml:space="preserve">with Article 6 </w:t>
      </w:r>
      <w:r w:rsidRPr="00E116B6" w:rsidR="00501845">
        <w:rPr>
          <w:rFonts w:cstheme="minorHAnsi"/>
          <w:lang w:val="en-GB"/>
        </w:rPr>
        <w:t>§</w:t>
      </w:r>
      <w:r w:rsidRPr="00E116B6" w:rsidR="00501845">
        <w:rPr>
          <w:lang w:val="en-GB"/>
        </w:rPr>
        <w:t xml:space="preserve"> 1.</w:t>
      </w:r>
    </w:p>
    <w:p w:rsidRPr="00E116B6" w:rsidR="00501845" w:rsidP="00E116B6" w:rsidRDefault="006D7FFB">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148</w:t>
      </w:r>
      <w:r w:rsidRPr="00E116B6">
        <w:rPr>
          <w:lang w:val="en-GB"/>
        </w:rPr>
        <w:fldChar w:fldCharType="end"/>
      </w:r>
      <w:r w:rsidRPr="00E116B6">
        <w:rPr>
          <w:lang w:val="en-GB"/>
        </w:rPr>
        <w:t xml:space="preserve">.  The </w:t>
      </w:r>
      <w:r w:rsidRPr="00E116B6" w:rsidR="007148F4">
        <w:rPr>
          <w:lang w:val="en-GB"/>
        </w:rPr>
        <w:t>Government disagreed</w:t>
      </w:r>
      <w:r w:rsidRPr="00E116B6">
        <w:rPr>
          <w:lang w:val="en-GB"/>
        </w:rPr>
        <w:t>.</w:t>
      </w:r>
    </w:p>
    <w:p w:rsidRPr="00E116B6" w:rsidR="00501845" w:rsidP="00E116B6" w:rsidRDefault="004C4CF3">
      <w:pPr>
        <w:pStyle w:val="ECHRPara"/>
        <w:rPr>
          <w:i/>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149</w:t>
      </w:r>
      <w:r w:rsidRPr="00E116B6">
        <w:rPr>
          <w:lang w:val="en-GB"/>
        </w:rPr>
        <w:fldChar w:fldCharType="end"/>
      </w:r>
      <w:r w:rsidRPr="00E116B6" w:rsidR="00501845">
        <w:rPr>
          <w:lang w:val="en-GB"/>
        </w:rPr>
        <w:t>.  </w:t>
      </w:r>
      <w:r w:rsidRPr="00E116B6" w:rsidR="003033F0">
        <w:rPr>
          <w:lang w:val="en-GB"/>
        </w:rPr>
        <w:t>H</w:t>
      </w:r>
      <w:r w:rsidRPr="00E116B6" w:rsidR="00501845">
        <w:rPr>
          <w:lang w:val="en-GB"/>
        </w:rPr>
        <w:t>aving regard to the facts of the case, the submissions of the parties and its findings under Articles 3 and 6 § 1 of the Convention, the Court considers that it has examined the main legal questions raised in the present applicati</w:t>
      </w:r>
      <w:r w:rsidRPr="00E116B6" w:rsidR="006555F4">
        <w:rPr>
          <w:lang w:val="en-GB"/>
        </w:rPr>
        <w:t xml:space="preserve">on </w:t>
      </w:r>
      <w:r w:rsidRPr="00E116B6" w:rsidR="00501845">
        <w:rPr>
          <w:lang w:val="en-GB"/>
        </w:rPr>
        <w:t xml:space="preserve">and that there is no need to give a separate ruling </w:t>
      </w:r>
      <w:r w:rsidRPr="00E116B6" w:rsidR="006555F4">
        <w:rPr>
          <w:lang w:val="en-GB"/>
        </w:rPr>
        <w:t xml:space="preserve">on </w:t>
      </w:r>
      <w:r w:rsidRPr="00E116B6" w:rsidR="00501845">
        <w:rPr>
          <w:lang w:val="en-GB"/>
        </w:rPr>
        <w:t xml:space="preserve">the </w:t>
      </w:r>
      <w:r w:rsidRPr="00E116B6" w:rsidR="007148F4">
        <w:rPr>
          <w:lang w:val="en-GB"/>
        </w:rPr>
        <w:t xml:space="preserve">admissibility and merits of the </w:t>
      </w:r>
      <w:r w:rsidRPr="00E116B6" w:rsidR="00501845">
        <w:rPr>
          <w:lang w:val="en-GB"/>
        </w:rPr>
        <w:t xml:space="preserve">remaining complaints (see, among many other authorities, </w:t>
      </w:r>
      <w:r w:rsidRPr="00E116B6" w:rsidR="00501845">
        <w:rPr>
          <w:i/>
          <w:lang w:val="en-GB"/>
        </w:rPr>
        <w:t xml:space="preserve">Centre for Legal Resources </w:t>
      </w:r>
      <w:r w:rsidRPr="00E116B6" w:rsidR="006555F4">
        <w:rPr>
          <w:i/>
          <w:lang w:val="en-GB"/>
        </w:rPr>
        <w:t xml:space="preserve">on </w:t>
      </w:r>
      <w:r w:rsidRPr="00E116B6" w:rsidR="00BD03AB">
        <w:rPr>
          <w:i/>
          <w:lang w:val="en-GB"/>
        </w:rPr>
        <w:t>behalf of Valentin Câmpeanu v. </w:t>
      </w:r>
      <w:r w:rsidRPr="00E116B6" w:rsidR="00501845">
        <w:rPr>
          <w:i/>
          <w:lang w:val="en-GB"/>
        </w:rPr>
        <w:t>Romania</w:t>
      </w:r>
      <w:r w:rsidRPr="00E116B6" w:rsidR="00501845">
        <w:rPr>
          <w:lang w:val="en-GB"/>
        </w:rPr>
        <w:t xml:space="preserve"> [GC], no. </w:t>
      </w:r>
      <w:hyperlink w:tgtFrame="_blank" w:history="1" w:anchor="{&quot;appno&quot;:[&quot;47848/08&quot;]}" r:id="rId18">
        <w:r w:rsidRPr="00E116B6" w:rsidR="00501845">
          <w:rPr>
            <w:lang w:val="en-GB"/>
          </w:rPr>
          <w:t>47848/08</w:t>
        </w:r>
      </w:hyperlink>
      <w:r w:rsidRPr="00E116B6" w:rsidR="00501845">
        <w:rPr>
          <w:lang w:val="en-GB"/>
        </w:rPr>
        <w:t>, § 156, ECHR 2014, with further references</w:t>
      </w:r>
      <w:r w:rsidRPr="00E116B6" w:rsidR="006D7FFB">
        <w:rPr>
          <w:lang w:val="en-GB"/>
        </w:rPr>
        <w:t xml:space="preserve">, and also </w:t>
      </w:r>
      <w:r w:rsidRPr="00E116B6" w:rsidR="002B12FA">
        <w:rPr>
          <w:i/>
          <w:lang w:val="en-GB"/>
        </w:rPr>
        <w:t>Mitrov v. the former Yugoslav Republic of Macedonia</w:t>
      </w:r>
      <w:r w:rsidRPr="00E116B6" w:rsidR="002B12FA">
        <w:rPr>
          <w:lang w:val="en-GB"/>
        </w:rPr>
        <w:t>, no.</w:t>
      </w:r>
      <w:r w:rsidRPr="00E116B6" w:rsidR="00DE0DB3">
        <w:rPr>
          <w:lang w:val="en-GB"/>
        </w:rPr>
        <w:t> </w:t>
      </w:r>
      <w:r w:rsidRPr="00E116B6" w:rsidR="002B12FA">
        <w:rPr>
          <w:lang w:val="en-GB"/>
        </w:rPr>
        <w:t>45959/09</w:t>
      </w:r>
      <w:r w:rsidRPr="00E116B6" w:rsidR="002B12FA">
        <w:rPr>
          <w:snapToGrid w:val="0"/>
          <w:lang w:val="en-GB"/>
        </w:rPr>
        <w:t>, § 58, 2</w:t>
      </w:r>
      <w:r w:rsidRPr="00E116B6" w:rsidR="0000400E">
        <w:rPr>
          <w:snapToGrid w:val="0"/>
          <w:lang w:val="en-GB"/>
        </w:rPr>
        <w:t> </w:t>
      </w:r>
      <w:r w:rsidRPr="00E116B6" w:rsidR="002B12FA">
        <w:rPr>
          <w:snapToGrid w:val="0"/>
          <w:lang w:val="en-GB"/>
        </w:rPr>
        <w:t>June 2016</w:t>
      </w:r>
      <w:r w:rsidRPr="00E116B6" w:rsidR="006D7FFB">
        <w:rPr>
          <w:snapToGrid w:val="0"/>
          <w:lang w:val="en-GB"/>
        </w:rPr>
        <w:t xml:space="preserve"> </w:t>
      </w:r>
      <w:r w:rsidRPr="00E116B6" w:rsidR="00501845">
        <w:rPr>
          <w:lang w:val="en-GB"/>
        </w:rPr>
        <w:t>).</w:t>
      </w:r>
    </w:p>
    <w:p w:rsidRPr="00E116B6" w:rsidR="00014566" w:rsidP="00E116B6" w:rsidRDefault="005859F8">
      <w:pPr>
        <w:pStyle w:val="ECHRHeading1"/>
        <w:rPr>
          <w:lang w:val="en-GB"/>
        </w:rPr>
      </w:pPr>
      <w:r w:rsidRPr="00E116B6">
        <w:rPr>
          <w:lang w:val="en-GB"/>
        </w:rPr>
        <w:t>VI</w:t>
      </w:r>
      <w:r w:rsidRPr="00E116B6" w:rsidR="00114E41">
        <w:rPr>
          <w:lang w:val="en-GB"/>
        </w:rPr>
        <w:t>I</w:t>
      </w:r>
      <w:r w:rsidRPr="00E116B6" w:rsidR="00014566">
        <w:rPr>
          <w:lang w:val="en-GB"/>
        </w:rPr>
        <w:t>.  APPLICATION OF ARTICLE 41 OF THE CONVENTION</w:t>
      </w:r>
    </w:p>
    <w:p w:rsidRPr="00E116B6" w:rsidR="00014566" w:rsidP="00E116B6" w:rsidRDefault="00570E7B">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150</w:t>
      </w:r>
      <w:r w:rsidRPr="00E116B6">
        <w:rPr>
          <w:lang w:val="en-GB"/>
        </w:rPr>
        <w:fldChar w:fldCharType="end"/>
      </w:r>
      <w:r w:rsidRPr="00E116B6" w:rsidR="00014566">
        <w:rPr>
          <w:lang w:val="en-GB"/>
        </w:rPr>
        <w:t>.  Article 41 of the Conventi</w:t>
      </w:r>
      <w:r w:rsidRPr="00E116B6" w:rsidR="006555F4">
        <w:rPr>
          <w:lang w:val="en-GB"/>
        </w:rPr>
        <w:t xml:space="preserve">on </w:t>
      </w:r>
      <w:r w:rsidRPr="00E116B6" w:rsidR="00014566">
        <w:rPr>
          <w:lang w:val="en-GB"/>
        </w:rPr>
        <w:t>provides:</w:t>
      </w:r>
    </w:p>
    <w:p w:rsidRPr="00E116B6" w:rsidR="00014566" w:rsidP="00E116B6" w:rsidRDefault="00014566">
      <w:pPr>
        <w:pStyle w:val="ECHRParaQuote"/>
        <w:keepNext/>
        <w:keepLines/>
        <w:rPr>
          <w:lang w:val="en-GB"/>
        </w:rPr>
      </w:pPr>
      <w:r w:rsidRPr="00E116B6">
        <w:rPr>
          <w:lang w:val="en-GB"/>
        </w:rPr>
        <w:t>“If the Court finds that there has been a violati</w:t>
      </w:r>
      <w:r w:rsidRPr="00E116B6" w:rsidR="006555F4">
        <w:rPr>
          <w:lang w:val="en-GB"/>
        </w:rPr>
        <w:t xml:space="preserve">on </w:t>
      </w:r>
      <w:r w:rsidRPr="00E116B6">
        <w:rPr>
          <w:lang w:val="en-GB"/>
        </w:rPr>
        <w:t>of the Conventi</w:t>
      </w:r>
      <w:r w:rsidRPr="00E116B6" w:rsidR="006555F4">
        <w:rPr>
          <w:lang w:val="en-GB"/>
        </w:rPr>
        <w:t xml:space="preserve">on </w:t>
      </w:r>
      <w:r w:rsidRPr="00E116B6">
        <w:rPr>
          <w:lang w:val="en-GB"/>
        </w:rPr>
        <w:t>or the Protocols thereto, and if the internal law of the High Contracting Party concerned allows only partial reparati</w:t>
      </w:r>
      <w:r w:rsidRPr="00E116B6" w:rsidR="006555F4">
        <w:rPr>
          <w:lang w:val="en-GB"/>
        </w:rPr>
        <w:t xml:space="preserve">on </w:t>
      </w:r>
      <w:r w:rsidRPr="00E116B6">
        <w:rPr>
          <w:lang w:val="en-GB"/>
        </w:rPr>
        <w:t>to be made, the Court shall, if necessary, afford just satisfacti</w:t>
      </w:r>
      <w:r w:rsidRPr="00E116B6" w:rsidR="006555F4">
        <w:rPr>
          <w:lang w:val="en-GB"/>
        </w:rPr>
        <w:t xml:space="preserve">on </w:t>
      </w:r>
      <w:r w:rsidRPr="00E116B6">
        <w:rPr>
          <w:lang w:val="en-GB"/>
        </w:rPr>
        <w:t>to the injured party.”</w:t>
      </w:r>
    </w:p>
    <w:p w:rsidRPr="00E116B6" w:rsidR="00014566" w:rsidP="00E116B6" w:rsidRDefault="00014566">
      <w:pPr>
        <w:pStyle w:val="ECHRHeading2"/>
        <w:rPr>
          <w:lang w:val="en-GB"/>
        </w:rPr>
      </w:pPr>
      <w:r w:rsidRPr="00E116B6">
        <w:rPr>
          <w:lang w:val="en-GB"/>
        </w:rPr>
        <w:t>A.  Damage</w:t>
      </w:r>
    </w:p>
    <w:p w:rsidRPr="00E116B6" w:rsidR="00014566" w:rsidP="00E116B6" w:rsidRDefault="00570E7B">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151</w:t>
      </w:r>
      <w:r w:rsidRPr="00E116B6">
        <w:rPr>
          <w:lang w:val="en-GB"/>
        </w:rPr>
        <w:fldChar w:fldCharType="end"/>
      </w:r>
      <w:r w:rsidRPr="00E116B6" w:rsidR="00014566">
        <w:rPr>
          <w:lang w:val="en-GB"/>
        </w:rPr>
        <w:t xml:space="preserve">.  The </w:t>
      </w:r>
      <w:r w:rsidRPr="00E116B6" w:rsidR="00480ACE">
        <w:rPr>
          <w:lang w:val="en-GB"/>
        </w:rPr>
        <w:t xml:space="preserve">first and second </w:t>
      </w:r>
      <w:r w:rsidRPr="00E116B6" w:rsidR="00014566">
        <w:rPr>
          <w:lang w:val="en-GB"/>
        </w:rPr>
        <w:t>applicant</w:t>
      </w:r>
      <w:r w:rsidRPr="00E116B6">
        <w:rPr>
          <w:lang w:val="en-GB"/>
        </w:rPr>
        <w:t>s</w:t>
      </w:r>
      <w:r w:rsidRPr="00E116B6" w:rsidR="00014566">
        <w:rPr>
          <w:lang w:val="en-GB"/>
        </w:rPr>
        <w:t xml:space="preserve"> claimed</w:t>
      </w:r>
      <w:r w:rsidRPr="00E116B6" w:rsidR="00480ACE">
        <w:rPr>
          <w:lang w:val="en-GB"/>
        </w:rPr>
        <w:t xml:space="preserve">, respectively, </w:t>
      </w:r>
      <w:r w:rsidRPr="00E116B6" w:rsidR="00144F0E">
        <w:rPr>
          <w:lang w:val="en-GB"/>
        </w:rPr>
        <w:t>EUR</w:t>
      </w:r>
      <w:r w:rsidRPr="00E116B6" w:rsidR="00DE0DB3">
        <w:rPr>
          <w:lang w:val="en-GB"/>
        </w:rPr>
        <w:t> </w:t>
      </w:r>
      <w:r w:rsidRPr="00E116B6" w:rsidR="00480ACE">
        <w:rPr>
          <w:lang w:val="en-GB"/>
        </w:rPr>
        <w:t xml:space="preserve">150,000 and </w:t>
      </w:r>
      <w:r w:rsidRPr="00E116B6" w:rsidR="00144F0E">
        <w:rPr>
          <w:lang w:val="en-GB"/>
        </w:rPr>
        <w:t xml:space="preserve">EUR </w:t>
      </w:r>
      <w:r w:rsidRPr="00E116B6" w:rsidR="00480ACE">
        <w:rPr>
          <w:lang w:val="en-GB"/>
        </w:rPr>
        <w:t>60,000</w:t>
      </w:r>
      <w:r w:rsidRPr="00E116B6" w:rsidR="00014566">
        <w:rPr>
          <w:lang w:val="en-GB"/>
        </w:rPr>
        <w:t xml:space="preserve"> (EUR) in respect of non-pecuniary damage.</w:t>
      </w:r>
    </w:p>
    <w:p w:rsidRPr="00E116B6" w:rsidR="00014566" w:rsidP="00E116B6" w:rsidRDefault="00570E7B">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152</w:t>
      </w:r>
      <w:r w:rsidRPr="00E116B6">
        <w:rPr>
          <w:lang w:val="en-GB"/>
        </w:rPr>
        <w:fldChar w:fldCharType="end"/>
      </w:r>
      <w:r w:rsidRPr="00E116B6" w:rsidR="00AC1180">
        <w:rPr>
          <w:lang w:val="en-GB"/>
        </w:rPr>
        <w:t>.  </w:t>
      </w:r>
      <w:r w:rsidRPr="00E116B6" w:rsidR="00480ACE">
        <w:rPr>
          <w:lang w:val="en-GB"/>
        </w:rPr>
        <w:t>The Government submitted that th</w:t>
      </w:r>
      <w:r w:rsidRPr="00E116B6" w:rsidR="00387B3C">
        <w:rPr>
          <w:lang w:val="en-GB"/>
        </w:rPr>
        <w:t xml:space="preserve">ose </w:t>
      </w:r>
      <w:r w:rsidRPr="00E116B6" w:rsidR="00480ACE">
        <w:rPr>
          <w:lang w:val="en-GB"/>
        </w:rPr>
        <w:t>amounts were excessive.</w:t>
      </w:r>
    </w:p>
    <w:p w:rsidRPr="00E116B6" w:rsidR="00014566" w:rsidP="00E116B6" w:rsidRDefault="00570E7B">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153</w:t>
      </w:r>
      <w:r w:rsidRPr="00E116B6">
        <w:rPr>
          <w:lang w:val="en-GB"/>
        </w:rPr>
        <w:fldChar w:fldCharType="end"/>
      </w:r>
      <w:r w:rsidRPr="00E116B6" w:rsidR="00014566">
        <w:rPr>
          <w:lang w:val="en-GB"/>
        </w:rPr>
        <w:t xml:space="preserve">.  The Court </w:t>
      </w:r>
      <w:r w:rsidRPr="00E116B6" w:rsidR="00480ACE">
        <w:rPr>
          <w:lang w:val="en-GB"/>
        </w:rPr>
        <w:t>notes that it has found a combinati</w:t>
      </w:r>
      <w:r w:rsidRPr="00E116B6" w:rsidR="006555F4">
        <w:rPr>
          <w:lang w:val="en-GB"/>
        </w:rPr>
        <w:t xml:space="preserve">on </w:t>
      </w:r>
      <w:r w:rsidRPr="00E116B6" w:rsidR="00480ACE">
        <w:rPr>
          <w:lang w:val="en-GB"/>
        </w:rPr>
        <w:t>of violations in the present case and accepts that the applicants have suffered non-pecuniary damage which cannot be compensated for solely by the findings of violations</w:t>
      </w:r>
      <w:r w:rsidRPr="00E116B6" w:rsidR="00331222">
        <w:rPr>
          <w:lang w:val="en-GB"/>
        </w:rPr>
        <w:t xml:space="preserve"> as such</w:t>
      </w:r>
      <w:r w:rsidRPr="00E116B6" w:rsidR="00480ACE">
        <w:rPr>
          <w:lang w:val="en-GB"/>
        </w:rPr>
        <w:t>. The Court therefore finds it appropriate to award</w:t>
      </w:r>
      <w:r w:rsidRPr="00E116B6" w:rsidR="00331222">
        <w:rPr>
          <w:lang w:val="en-GB"/>
        </w:rPr>
        <w:t xml:space="preserve"> EUR</w:t>
      </w:r>
      <w:r w:rsidRPr="00E116B6" w:rsidR="00DE0DB3">
        <w:rPr>
          <w:lang w:val="en-GB"/>
        </w:rPr>
        <w:t> </w:t>
      </w:r>
      <w:r w:rsidRPr="00E116B6" w:rsidR="00331222">
        <w:rPr>
          <w:lang w:val="en-GB"/>
        </w:rPr>
        <w:t xml:space="preserve">28,000 and EUR 16,000 </w:t>
      </w:r>
      <w:r w:rsidRPr="00E116B6" w:rsidR="00480ACE">
        <w:rPr>
          <w:lang w:val="en-GB"/>
        </w:rPr>
        <w:t>to the first and second applicants respectively.</w:t>
      </w:r>
    </w:p>
    <w:p w:rsidRPr="00E116B6" w:rsidR="00480ACE" w:rsidP="00E116B6" w:rsidRDefault="00480ACE">
      <w:pPr>
        <w:pStyle w:val="ECHRPara"/>
        <w:rPr>
          <w:i/>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154</w:t>
      </w:r>
      <w:r w:rsidRPr="00E116B6">
        <w:rPr>
          <w:lang w:val="en-GB"/>
        </w:rPr>
        <w:fldChar w:fldCharType="end"/>
      </w:r>
      <w:r w:rsidRPr="00E116B6">
        <w:rPr>
          <w:lang w:val="en-GB"/>
        </w:rPr>
        <w:t>.  Furthermore, given the Court</w:t>
      </w:r>
      <w:r w:rsidRPr="00E116B6" w:rsidR="00E116B6">
        <w:rPr>
          <w:lang w:val="en-GB"/>
        </w:rPr>
        <w:t>’</w:t>
      </w:r>
      <w:r w:rsidRPr="00E116B6">
        <w:rPr>
          <w:lang w:val="en-GB"/>
        </w:rPr>
        <w:t xml:space="preserve">s findings regarding the unfairness of the domestic proceedings </w:t>
      </w:r>
      <w:r w:rsidRPr="00E116B6" w:rsidR="00BD58B1">
        <w:rPr>
          <w:lang w:val="en-GB"/>
        </w:rPr>
        <w:t xml:space="preserve">which </w:t>
      </w:r>
      <w:r w:rsidRPr="00E116B6">
        <w:rPr>
          <w:lang w:val="en-GB"/>
        </w:rPr>
        <w:t>result</w:t>
      </w:r>
      <w:r w:rsidRPr="00E116B6" w:rsidR="00BD58B1">
        <w:rPr>
          <w:lang w:val="en-GB"/>
        </w:rPr>
        <w:t>ed</w:t>
      </w:r>
      <w:r w:rsidRPr="00E116B6">
        <w:rPr>
          <w:lang w:val="en-GB"/>
        </w:rPr>
        <w:t xml:space="preserve"> in the applicants</w:t>
      </w:r>
      <w:r w:rsidRPr="00E116B6" w:rsidR="00E116B6">
        <w:rPr>
          <w:lang w:val="en-GB"/>
        </w:rPr>
        <w:t>’</w:t>
      </w:r>
      <w:r w:rsidRPr="00E116B6">
        <w:rPr>
          <w:lang w:val="en-GB"/>
        </w:rPr>
        <w:t xml:space="preserve"> convicti</w:t>
      </w:r>
      <w:r w:rsidRPr="00E116B6" w:rsidR="006555F4">
        <w:rPr>
          <w:lang w:val="en-GB"/>
        </w:rPr>
        <w:t xml:space="preserve">on </w:t>
      </w:r>
      <w:r w:rsidRPr="00E116B6" w:rsidR="009D7AC5">
        <w:rPr>
          <w:lang w:val="en-GB"/>
        </w:rPr>
        <w:t>for attempted murder</w:t>
      </w:r>
      <w:r w:rsidRPr="00E116B6" w:rsidR="00331222">
        <w:rPr>
          <w:lang w:val="en-GB"/>
        </w:rPr>
        <w:t>,</w:t>
      </w:r>
      <w:r w:rsidRPr="00E116B6">
        <w:rPr>
          <w:lang w:val="en-GB"/>
        </w:rPr>
        <w:t xml:space="preserve"> and having regard to the circumstances of this case, the Court considers </w:t>
      </w:r>
      <w:r w:rsidRPr="00E116B6" w:rsidR="00FA4BC1">
        <w:rPr>
          <w:lang w:val="en-GB"/>
        </w:rPr>
        <w:t xml:space="preserve">that </w:t>
      </w:r>
      <w:r w:rsidRPr="00E116B6">
        <w:rPr>
          <w:lang w:val="en-GB"/>
        </w:rPr>
        <w:t xml:space="preserve">a retrial, </w:t>
      </w:r>
      <w:r w:rsidRPr="00E116B6" w:rsidR="00387B3C">
        <w:rPr>
          <w:lang w:val="en-GB"/>
        </w:rPr>
        <w:t xml:space="preserve">which Georgian law </w:t>
      </w:r>
      <w:r w:rsidRPr="00E116B6" w:rsidR="00647FA7">
        <w:rPr>
          <w:lang w:val="en-GB"/>
        </w:rPr>
        <w:t xml:space="preserve">duly </w:t>
      </w:r>
      <w:r w:rsidRPr="00E116B6" w:rsidR="009F0DE4">
        <w:rPr>
          <w:lang w:val="en-GB"/>
        </w:rPr>
        <w:t>envisages</w:t>
      </w:r>
      <w:r w:rsidRPr="00E116B6" w:rsidR="00387B3C">
        <w:rPr>
          <w:lang w:val="en-GB"/>
        </w:rPr>
        <w:t xml:space="preserve"> as </w:t>
      </w:r>
      <w:r w:rsidRPr="00E116B6">
        <w:rPr>
          <w:lang w:val="en-GB"/>
        </w:rPr>
        <w:t>a possibility (see</w:t>
      </w:r>
      <w:r w:rsidRPr="00E116B6" w:rsidR="002B472F">
        <w:rPr>
          <w:lang w:val="en-GB"/>
        </w:rPr>
        <w:t xml:space="preserve"> </w:t>
      </w:r>
      <w:r w:rsidRPr="00E116B6" w:rsidR="002B472F">
        <w:rPr>
          <w:i/>
          <w:lang w:val="en-GB"/>
        </w:rPr>
        <w:t>Taktakishvili v. Georgia</w:t>
      </w:r>
      <w:r w:rsidRPr="00E116B6" w:rsidR="002B472F">
        <w:rPr>
          <w:lang w:val="en-GB"/>
        </w:rPr>
        <w:t xml:space="preserve"> (dec.)</w:t>
      </w:r>
      <w:r w:rsidRPr="00E116B6" w:rsidR="002F4380">
        <w:rPr>
          <w:lang w:val="en-GB"/>
        </w:rPr>
        <w:t xml:space="preserve">, no. 46055/06, </w:t>
      </w:r>
      <w:r w:rsidRPr="00E116B6" w:rsidR="002F4380">
        <w:rPr>
          <w:rFonts w:cstheme="minorHAnsi"/>
          <w:lang w:val="en-GB"/>
        </w:rPr>
        <w:t>§§</w:t>
      </w:r>
      <w:r w:rsidRPr="00E116B6" w:rsidR="002F4380">
        <w:rPr>
          <w:lang w:val="en-GB"/>
        </w:rPr>
        <w:t xml:space="preserve"> 22 and 23, 16</w:t>
      </w:r>
      <w:r w:rsidRPr="00E116B6" w:rsidR="00DE0DB3">
        <w:rPr>
          <w:lang w:val="en-GB"/>
        </w:rPr>
        <w:t> </w:t>
      </w:r>
      <w:r w:rsidRPr="00E116B6" w:rsidR="002F4380">
        <w:rPr>
          <w:lang w:val="en-GB"/>
        </w:rPr>
        <w:t>October 2012</w:t>
      </w:r>
      <w:r w:rsidRPr="00E116B6" w:rsidR="002B472F">
        <w:rPr>
          <w:lang w:val="en-GB"/>
        </w:rPr>
        <w:t>)</w:t>
      </w:r>
      <w:r w:rsidRPr="00E116B6">
        <w:rPr>
          <w:lang w:val="en-GB"/>
        </w:rPr>
        <w:t xml:space="preserve">, </w:t>
      </w:r>
      <w:r w:rsidRPr="00E116B6" w:rsidR="00936898">
        <w:rPr>
          <w:lang w:val="en-GB"/>
        </w:rPr>
        <w:t xml:space="preserve">could </w:t>
      </w:r>
      <w:r w:rsidRPr="00E116B6" w:rsidR="00A34906">
        <w:rPr>
          <w:lang w:val="en-GB"/>
        </w:rPr>
        <w:t>represent, if requested, an</w:t>
      </w:r>
      <w:r w:rsidRPr="00E116B6" w:rsidR="007F47A3">
        <w:rPr>
          <w:lang w:val="en-GB"/>
        </w:rPr>
        <w:t xml:space="preserve"> </w:t>
      </w:r>
      <w:r w:rsidRPr="00E116B6" w:rsidR="00A34906">
        <w:rPr>
          <w:lang w:val="en-GB"/>
        </w:rPr>
        <w:t>appropriate way of redressing the violati</w:t>
      </w:r>
      <w:r w:rsidRPr="00E116B6" w:rsidR="006555F4">
        <w:rPr>
          <w:lang w:val="en-GB"/>
        </w:rPr>
        <w:t xml:space="preserve">on </w:t>
      </w:r>
      <w:r w:rsidRPr="00E116B6" w:rsidR="007F47A3">
        <w:rPr>
          <w:lang w:val="en-GB"/>
        </w:rPr>
        <w:t xml:space="preserve">under Article 6 </w:t>
      </w:r>
      <w:r w:rsidRPr="00E116B6" w:rsidR="007F47A3">
        <w:rPr>
          <w:rFonts w:cstheme="minorHAnsi"/>
          <w:lang w:val="en-GB"/>
        </w:rPr>
        <w:t>§</w:t>
      </w:r>
      <w:r w:rsidRPr="00E116B6" w:rsidR="007F47A3">
        <w:rPr>
          <w:lang w:val="en-GB"/>
        </w:rPr>
        <w:t xml:space="preserve"> 1 of the Conventi</w:t>
      </w:r>
      <w:r w:rsidRPr="00E116B6" w:rsidR="006555F4">
        <w:rPr>
          <w:lang w:val="en-GB"/>
        </w:rPr>
        <w:t xml:space="preserve">on </w:t>
      </w:r>
      <w:r w:rsidRPr="00E116B6">
        <w:rPr>
          <w:lang w:val="en-GB"/>
        </w:rPr>
        <w:t>(</w:t>
      </w:r>
      <w:r w:rsidRPr="00E116B6" w:rsidR="002F4380">
        <w:rPr>
          <w:lang w:val="en-GB"/>
        </w:rPr>
        <w:t xml:space="preserve">compare with </w:t>
      </w:r>
      <w:r w:rsidRPr="00E116B6">
        <w:rPr>
          <w:i/>
          <w:lang w:val="en-GB"/>
        </w:rPr>
        <w:t>Nechiporuk and Yonkalo</w:t>
      </w:r>
      <w:r w:rsidRPr="00E116B6">
        <w:rPr>
          <w:lang w:val="en-GB"/>
        </w:rPr>
        <w:t xml:space="preserve">, cited above, </w:t>
      </w:r>
      <w:r w:rsidRPr="00E116B6">
        <w:rPr>
          <w:rFonts w:cstheme="minorHAnsi"/>
          <w:lang w:val="en-GB"/>
        </w:rPr>
        <w:t>§</w:t>
      </w:r>
      <w:r w:rsidRPr="00E116B6">
        <w:rPr>
          <w:lang w:val="en-GB"/>
        </w:rPr>
        <w:t xml:space="preserve"> 297</w:t>
      </w:r>
      <w:r w:rsidRPr="00E116B6" w:rsidR="00AA2659">
        <w:rPr>
          <w:lang w:val="en-GB"/>
        </w:rPr>
        <w:t xml:space="preserve">; </w:t>
      </w:r>
      <w:r w:rsidRPr="00E116B6" w:rsidR="00331222">
        <w:rPr>
          <w:i/>
          <w:lang w:val="en-GB"/>
        </w:rPr>
        <w:t>Hajnal</w:t>
      </w:r>
      <w:r w:rsidRPr="00E116B6" w:rsidR="00331222">
        <w:rPr>
          <w:lang w:val="en-GB"/>
        </w:rPr>
        <w:t>, cited above,</w:t>
      </w:r>
      <w:r w:rsidRPr="00E116B6" w:rsidR="00AA2659">
        <w:rPr>
          <w:snapToGrid w:val="0"/>
          <w:szCs w:val="24"/>
          <w:lang w:val="en-GB"/>
        </w:rPr>
        <w:t xml:space="preserve"> §</w:t>
      </w:r>
      <w:r w:rsidRPr="00E116B6" w:rsidR="00055BAB">
        <w:rPr>
          <w:snapToGrid w:val="0"/>
          <w:szCs w:val="24"/>
          <w:lang w:val="en-GB"/>
        </w:rPr>
        <w:t> </w:t>
      </w:r>
      <w:r w:rsidRPr="00E116B6" w:rsidR="00AA2659">
        <w:rPr>
          <w:snapToGrid w:val="0"/>
          <w:szCs w:val="24"/>
          <w:lang w:val="en-GB"/>
        </w:rPr>
        <w:t>150</w:t>
      </w:r>
      <w:r w:rsidRPr="00E116B6" w:rsidR="004E129C">
        <w:rPr>
          <w:snapToGrid w:val="0"/>
          <w:szCs w:val="24"/>
          <w:lang w:val="en-GB"/>
        </w:rPr>
        <w:t>;</w:t>
      </w:r>
      <w:r w:rsidRPr="00E116B6" w:rsidR="00331222">
        <w:rPr>
          <w:snapToGrid w:val="0"/>
          <w:szCs w:val="24"/>
          <w:lang w:val="en-GB"/>
        </w:rPr>
        <w:t xml:space="preserve"> and</w:t>
      </w:r>
      <w:r w:rsidRPr="00E116B6" w:rsidR="004E129C">
        <w:rPr>
          <w:snapToGrid w:val="0"/>
          <w:szCs w:val="24"/>
          <w:lang w:val="en-GB"/>
        </w:rPr>
        <w:t xml:space="preserve"> </w:t>
      </w:r>
      <w:r w:rsidRPr="00E116B6" w:rsidR="004E129C">
        <w:rPr>
          <w:i/>
          <w:lang w:val="en-GB"/>
        </w:rPr>
        <w:t>Levinţa v. Moldova</w:t>
      </w:r>
      <w:r w:rsidRPr="00E116B6" w:rsidR="00AD09B2">
        <w:rPr>
          <w:lang w:val="en-GB"/>
        </w:rPr>
        <w:t>, no.</w:t>
      </w:r>
      <w:r w:rsidRPr="00E116B6" w:rsidR="001E1626">
        <w:rPr>
          <w:lang w:val="en-GB"/>
        </w:rPr>
        <w:t> </w:t>
      </w:r>
      <w:r w:rsidRPr="00E116B6" w:rsidR="00AD09B2">
        <w:rPr>
          <w:lang w:val="en-GB"/>
        </w:rPr>
        <w:t>17332/03, § 113</w:t>
      </w:r>
      <w:r w:rsidRPr="00E116B6" w:rsidR="004E129C">
        <w:rPr>
          <w:lang w:val="en-GB"/>
        </w:rPr>
        <w:t>, 16 December 2008</w:t>
      </w:r>
      <w:r w:rsidRPr="00E116B6">
        <w:rPr>
          <w:lang w:val="en-GB"/>
        </w:rPr>
        <w:t>).</w:t>
      </w:r>
    </w:p>
    <w:p w:rsidRPr="00E116B6" w:rsidR="00014566" w:rsidP="00E116B6" w:rsidRDefault="00014566">
      <w:pPr>
        <w:pStyle w:val="ECHRHeading2"/>
        <w:rPr>
          <w:lang w:val="en-GB"/>
        </w:rPr>
      </w:pPr>
      <w:r w:rsidRPr="00E116B6">
        <w:rPr>
          <w:lang w:val="en-GB"/>
        </w:rPr>
        <w:t>B.  Costs and expenses</w:t>
      </w:r>
    </w:p>
    <w:p w:rsidRPr="00E116B6" w:rsidR="0013429F" w:rsidP="00E116B6" w:rsidRDefault="00570E7B">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155</w:t>
      </w:r>
      <w:r w:rsidRPr="00E116B6">
        <w:rPr>
          <w:lang w:val="en-GB"/>
        </w:rPr>
        <w:fldChar w:fldCharType="end"/>
      </w:r>
      <w:r w:rsidRPr="00E116B6" w:rsidR="00014566">
        <w:rPr>
          <w:lang w:val="en-GB"/>
        </w:rPr>
        <w:t>.  </w:t>
      </w:r>
      <w:r w:rsidRPr="00E116B6" w:rsidR="0013429F">
        <w:rPr>
          <w:lang w:val="en-GB"/>
        </w:rPr>
        <w:t>Each of the applicants</w:t>
      </w:r>
      <w:r w:rsidRPr="00E116B6" w:rsidR="00014566">
        <w:rPr>
          <w:lang w:val="en-GB"/>
        </w:rPr>
        <w:t xml:space="preserve"> claimed EUR </w:t>
      </w:r>
      <w:r w:rsidRPr="00E116B6" w:rsidR="00866CD1">
        <w:rPr>
          <w:lang w:val="en-GB"/>
        </w:rPr>
        <w:t>2,400</w:t>
      </w:r>
      <w:r w:rsidRPr="00E116B6" w:rsidR="00014566">
        <w:rPr>
          <w:lang w:val="en-GB"/>
        </w:rPr>
        <w:t xml:space="preserve"> </w:t>
      </w:r>
      <w:r w:rsidRPr="00E116B6" w:rsidR="0013429F">
        <w:rPr>
          <w:lang w:val="en-GB"/>
        </w:rPr>
        <w:t>in respect of their representati</w:t>
      </w:r>
      <w:r w:rsidRPr="00E116B6" w:rsidR="006555F4">
        <w:rPr>
          <w:lang w:val="en-GB"/>
        </w:rPr>
        <w:t xml:space="preserve">on </w:t>
      </w:r>
      <w:r w:rsidRPr="00E116B6" w:rsidR="0013429F">
        <w:rPr>
          <w:lang w:val="en-GB"/>
        </w:rPr>
        <w:t>before the Court by their two representatives. In support of this claim, they submitted two separate legal service contracts dated 20</w:t>
      </w:r>
      <w:r w:rsidRPr="00E116B6" w:rsidR="0000400E">
        <w:rPr>
          <w:lang w:val="en-GB"/>
        </w:rPr>
        <w:t> </w:t>
      </w:r>
      <w:r w:rsidRPr="00E116B6" w:rsidR="0013429F">
        <w:rPr>
          <w:lang w:val="en-GB"/>
        </w:rPr>
        <w:t>April 2005</w:t>
      </w:r>
      <w:r w:rsidRPr="00E116B6" w:rsidR="00FA4BC1">
        <w:rPr>
          <w:lang w:val="en-GB"/>
        </w:rPr>
        <w:t>,</w:t>
      </w:r>
      <w:r w:rsidRPr="00E116B6" w:rsidR="0013429F">
        <w:rPr>
          <w:lang w:val="en-GB"/>
        </w:rPr>
        <w:t xml:space="preserve"> signed b</w:t>
      </w:r>
      <w:r w:rsidRPr="00E116B6" w:rsidR="00387B3C">
        <w:rPr>
          <w:lang w:val="en-GB"/>
        </w:rPr>
        <w:t>y</w:t>
      </w:r>
      <w:r w:rsidRPr="00E116B6" w:rsidR="0013429F">
        <w:rPr>
          <w:lang w:val="en-GB"/>
        </w:rPr>
        <w:t xml:space="preserve"> the applicants and the two lawyers. According to the terms of that contract, each of the applicants was expected to pay the lawyers the above-mentioned amounts in the form of a legal fee in the event of a successful outcome in the proceedings before the Court. </w:t>
      </w:r>
      <w:r w:rsidRPr="00E116B6" w:rsidR="00FA4BC1">
        <w:rPr>
          <w:lang w:val="en-GB"/>
        </w:rPr>
        <w:t xml:space="preserve">The contracts </w:t>
      </w:r>
      <w:r w:rsidRPr="00E116B6" w:rsidR="0013429F">
        <w:rPr>
          <w:lang w:val="en-GB"/>
        </w:rPr>
        <w:t>specified that the legal fees were to cover all types of expense, such as those related to translati</w:t>
      </w:r>
      <w:r w:rsidRPr="00E116B6" w:rsidR="006555F4">
        <w:rPr>
          <w:lang w:val="en-GB"/>
        </w:rPr>
        <w:t xml:space="preserve">on </w:t>
      </w:r>
      <w:r w:rsidRPr="00E116B6" w:rsidR="0013429F">
        <w:rPr>
          <w:lang w:val="en-GB"/>
        </w:rPr>
        <w:t>and postal services,</w:t>
      </w:r>
      <w:r w:rsidRPr="00E116B6" w:rsidR="000F1078">
        <w:rPr>
          <w:lang w:val="en-GB"/>
        </w:rPr>
        <w:t xml:space="preserve"> faxing, </w:t>
      </w:r>
      <w:r w:rsidRPr="00E116B6" w:rsidR="00FA4BC1">
        <w:rPr>
          <w:lang w:val="en-GB"/>
        </w:rPr>
        <w:t xml:space="preserve">the </w:t>
      </w:r>
      <w:r w:rsidRPr="00E116B6" w:rsidR="000F1078">
        <w:rPr>
          <w:lang w:val="en-GB"/>
        </w:rPr>
        <w:t>copying of materials,</w:t>
      </w:r>
      <w:r w:rsidRPr="00E116B6" w:rsidR="0013429F">
        <w:rPr>
          <w:lang w:val="en-GB"/>
        </w:rPr>
        <w:t xml:space="preserve"> </w:t>
      </w:r>
      <w:r w:rsidRPr="00E116B6" w:rsidR="00FA4BC1">
        <w:rPr>
          <w:lang w:val="en-GB"/>
        </w:rPr>
        <w:t>the lawyers</w:t>
      </w:r>
      <w:r w:rsidRPr="00E116B6" w:rsidR="00E116B6">
        <w:rPr>
          <w:lang w:val="en-GB"/>
        </w:rPr>
        <w:t>’</w:t>
      </w:r>
      <w:r w:rsidRPr="00E116B6" w:rsidR="00FA4BC1">
        <w:rPr>
          <w:lang w:val="en-GB"/>
        </w:rPr>
        <w:t xml:space="preserve"> possible travel </w:t>
      </w:r>
      <w:r w:rsidRPr="00E116B6" w:rsidR="0013429F">
        <w:rPr>
          <w:lang w:val="en-GB"/>
        </w:rPr>
        <w:t xml:space="preserve">costs </w:t>
      </w:r>
      <w:r w:rsidRPr="00E116B6" w:rsidR="000F1078">
        <w:rPr>
          <w:lang w:val="en-GB"/>
        </w:rPr>
        <w:t>and so on.</w:t>
      </w:r>
    </w:p>
    <w:p w:rsidRPr="00E116B6" w:rsidR="00AC1180" w:rsidP="00E116B6" w:rsidRDefault="000F1078">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156</w:t>
      </w:r>
      <w:r w:rsidRPr="00E116B6">
        <w:rPr>
          <w:lang w:val="en-GB"/>
        </w:rPr>
        <w:fldChar w:fldCharType="end"/>
      </w:r>
      <w:r w:rsidRPr="00E116B6">
        <w:rPr>
          <w:lang w:val="en-GB"/>
        </w:rPr>
        <w:t xml:space="preserve">.  The second applicant additionally claimed EUR 890 </w:t>
      </w:r>
      <w:r w:rsidRPr="00E116B6" w:rsidR="00FA4BC1">
        <w:rPr>
          <w:lang w:val="en-GB"/>
        </w:rPr>
        <w:t xml:space="preserve">to </w:t>
      </w:r>
      <w:r w:rsidRPr="00E116B6">
        <w:rPr>
          <w:lang w:val="en-GB"/>
        </w:rPr>
        <w:t>reimburse</w:t>
      </w:r>
      <w:r w:rsidRPr="00E116B6" w:rsidR="00FA4BC1">
        <w:rPr>
          <w:lang w:val="en-GB"/>
        </w:rPr>
        <w:t xml:space="preserve"> </w:t>
      </w:r>
      <w:r w:rsidRPr="00E116B6">
        <w:rPr>
          <w:lang w:val="en-GB"/>
        </w:rPr>
        <w:t xml:space="preserve">his family for </w:t>
      </w:r>
      <w:r w:rsidRPr="00E116B6" w:rsidR="00FA4BC1">
        <w:rPr>
          <w:lang w:val="en-GB"/>
        </w:rPr>
        <w:t xml:space="preserve">the cost of </w:t>
      </w:r>
      <w:r w:rsidRPr="00E116B6">
        <w:rPr>
          <w:lang w:val="en-GB"/>
        </w:rPr>
        <w:t>arrang</w:t>
      </w:r>
      <w:r w:rsidRPr="00E116B6" w:rsidR="00FA4BC1">
        <w:rPr>
          <w:lang w:val="en-GB"/>
        </w:rPr>
        <w:t xml:space="preserve">ing </w:t>
      </w:r>
      <w:r w:rsidRPr="00E116B6">
        <w:rPr>
          <w:lang w:val="en-GB"/>
        </w:rPr>
        <w:t>a comprehensive examinati</w:t>
      </w:r>
      <w:r w:rsidRPr="00E116B6" w:rsidR="006555F4">
        <w:rPr>
          <w:lang w:val="en-GB"/>
        </w:rPr>
        <w:t xml:space="preserve">on </w:t>
      </w:r>
      <w:r w:rsidRPr="00E116B6">
        <w:rPr>
          <w:lang w:val="en-GB"/>
        </w:rPr>
        <w:t>of his health by private medical experts in 2008.</w:t>
      </w:r>
    </w:p>
    <w:p w:rsidRPr="00E116B6" w:rsidR="00014566" w:rsidP="00E116B6" w:rsidRDefault="00570E7B">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157</w:t>
      </w:r>
      <w:r w:rsidRPr="00E116B6">
        <w:rPr>
          <w:lang w:val="en-GB"/>
        </w:rPr>
        <w:fldChar w:fldCharType="end"/>
      </w:r>
      <w:r w:rsidRPr="00E116B6" w:rsidR="00014566">
        <w:rPr>
          <w:lang w:val="en-GB"/>
        </w:rPr>
        <w:t>.  </w:t>
      </w:r>
      <w:r w:rsidRPr="00E116B6">
        <w:rPr>
          <w:lang w:val="en-GB"/>
        </w:rPr>
        <w:t>According to the Court</w:t>
      </w:r>
      <w:r w:rsidRPr="00E116B6" w:rsidR="00E116B6">
        <w:rPr>
          <w:lang w:val="en-GB"/>
        </w:rPr>
        <w:t>’</w:t>
      </w:r>
      <w:r w:rsidRPr="00E116B6">
        <w:rPr>
          <w:lang w:val="en-GB"/>
        </w:rPr>
        <w:t>s case-law, an applicant is entitled to the reimbursement of costs and expenses only in so far as it has been shown that these have been actually and necessarily incurred and are reasonable as to quantum. In the present case, regard</w:t>
      </w:r>
      <w:r w:rsidRPr="00E116B6" w:rsidR="00014566">
        <w:rPr>
          <w:lang w:val="en-GB"/>
        </w:rPr>
        <w:t xml:space="preserve"> being had to the documents in its possessi</w:t>
      </w:r>
      <w:r w:rsidRPr="00E116B6" w:rsidR="006555F4">
        <w:rPr>
          <w:lang w:val="en-GB"/>
        </w:rPr>
        <w:t xml:space="preserve">on </w:t>
      </w:r>
      <w:r w:rsidRPr="00E116B6" w:rsidR="00014566">
        <w:rPr>
          <w:lang w:val="en-GB"/>
        </w:rPr>
        <w:t xml:space="preserve">and </w:t>
      </w:r>
      <w:r w:rsidRPr="00E116B6">
        <w:rPr>
          <w:lang w:val="en-GB"/>
        </w:rPr>
        <w:t>the above criteria</w:t>
      </w:r>
      <w:r w:rsidRPr="00E116B6" w:rsidR="00014566">
        <w:rPr>
          <w:lang w:val="en-GB"/>
        </w:rPr>
        <w:t xml:space="preserve">, the Court </w:t>
      </w:r>
      <w:r w:rsidRPr="00E116B6" w:rsidR="000F1078">
        <w:rPr>
          <w:lang w:val="en-GB"/>
        </w:rPr>
        <w:t xml:space="preserve">firstly </w:t>
      </w:r>
      <w:r w:rsidRPr="00E116B6" w:rsidR="00014566">
        <w:rPr>
          <w:lang w:val="en-GB"/>
        </w:rPr>
        <w:t xml:space="preserve">rejects the </w:t>
      </w:r>
      <w:r w:rsidRPr="00E116B6" w:rsidR="000F1078">
        <w:rPr>
          <w:lang w:val="en-GB"/>
        </w:rPr>
        <w:t>second applicant</w:t>
      </w:r>
      <w:r w:rsidRPr="00E116B6" w:rsidR="00E116B6">
        <w:rPr>
          <w:lang w:val="en-GB"/>
        </w:rPr>
        <w:t>’</w:t>
      </w:r>
      <w:r w:rsidRPr="00E116B6" w:rsidR="000F1078">
        <w:rPr>
          <w:lang w:val="en-GB"/>
        </w:rPr>
        <w:t xml:space="preserve">s </w:t>
      </w:r>
      <w:r w:rsidRPr="00E116B6" w:rsidR="00014566">
        <w:rPr>
          <w:lang w:val="en-GB"/>
        </w:rPr>
        <w:t xml:space="preserve">claim for </w:t>
      </w:r>
      <w:r w:rsidRPr="00E116B6" w:rsidR="000F1078">
        <w:rPr>
          <w:lang w:val="en-GB"/>
        </w:rPr>
        <w:t xml:space="preserve">the reimbursement of the </w:t>
      </w:r>
      <w:r w:rsidRPr="00E116B6" w:rsidR="00014566">
        <w:rPr>
          <w:lang w:val="en-GB"/>
        </w:rPr>
        <w:t>cost</w:t>
      </w:r>
      <w:r w:rsidRPr="00E116B6" w:rsidR="000F1078">
        <w:rPr>
          <w:lang w:val="en-GB"/>
        </w:rPr>
        <w:t xml:space="preserve"> of the medical examinati</w:t>
      </w:r>
      <w:r w:rsidRPr="00E116B6" w:rsidR="006555F4">
        <w:rPr>
          <w:lang w:val="en-GB"/>
        </w:rPr>
        <w:t xml:space="preserve">on </w:t>
      </w:r>
      <w:r w:rsidRPr="00E116B6" w:rsidR="000F1078">
        <w:rPr>
          <w:lang w:val="en-GB"/>
        </w:rPr>
        <w:t xml:space="preserve">in 2008. On the other hand, taking into account the complexity of the present case as well as the quality and volume of the legal work carried out, the Court considers it reasonable </w:t>
      </w:r>
      <w:r w:rsidRPr="00E116B6" w:rsidR="00014566">
        <w:rPr>
          <w:lang w:val="en-GB"/>
        </w:rPr>
        <w:t xml:space="preserve">to award </w:t>
      </w:r>
      <w:r w:rsidRPr="00E116B6" w:rsidR="000F1078">
        <w:rPr>
          <w:lang w:val="en-GB"/>
        </w:rPr>
        <w:t xml:space="preserve">the applicants </w:t>
      </w:r>
      <w:r w:rsidRPr="00E116B6" w:rsidR="00120D60">
        <w:rPr>
          <w:lang w:val="en-GB"/>
        </w:rPr>
        <w:t xml:space="preserve">jointly </w:t>
      </w:r>
      <w:r w:rsidRPr="00E116B6" w:rsidR="00014566">
        <w:rPr>
          <w:lang w:val="en-GB"/>
        </w:rPr>
        <w:t xml:space="preserve">the </w:t>
      </w:r>
      <w:r w:rsidRPr="00E116B6" w:rsidR="000F1078">
        <w:rPr>
          <w:lang w:val="en-GB"/>
        </w:rPr>
        <w:t>claimed amount</w:t>
      </w:r>
      <w:r w:rsidRPr="00E116B6" w:rsidR="00014566">
        <w:rPr>
          <w:lang w:val="en-GB"/>
        </w:rPr>
        <w:t xml:space="preserve"> of EUR </w:t>
      </w:r>
      <w:r w:rsidRPr="00E116B6" w:rsidR="00120D60">
        <w:rPr>
          <w:lang w:val="en-GB"/>
        </w:rPr>
        <w:t>4,800</w:t>
      </w:r>
      <w:r w:rsidRPr="00E116B6" w:rsidR="00014566">
        <w:rPr>
          <w:lang w:val="en-GB"/>
        </w:rPr>
        <w:t xml:space="preserve"> for the proceedings before the Court.</w:t>
      </w:r>
    </w:p>
    <w:p w:rsidRPr="00E116B6" w:rsidR="00014566" w:rsidP="00E116B6" w:rsidRDefault="00014566">
      <w:pPr>
        <w:pStyle w:val="ECHRHeading2"/>
        <w:rPr>
          <w:lang w:val="en-GB"/>
        </w:rPr>
      </w:pPr>
      <w:r w:rsidRPr="00E116B6">
        <w:rPr>
          <w:lang w:val="en-GB"/>
        </w:rPr>
        <w:t>C.  Default interest</w:t>
      </w:r>
    </w:p>
    <w:p w:rsidRPr="00E116B6" w:rsidR="00014566" w:rsidP="00E116B6" w:rsidRDefault="00570E7B">
      <w:pPr>
        <w:pStyle w:val="ECHRPara"/>
        <w:rPr>
          <w:lang w:val="en-GB"/>
        </w:rPr>
      </w:pPr>
      <w:r w:rsidRPr="00E116B6">
        <w:rPr>
          <w:lang w:val="en-GB"/>
        </w:rPr>
        <w:fldChar w:fldCharType="begin"/>
      </w:r>
      <w:r w:rsidRPr="00E116B6">
        <w:rPr>
          <w:lang w:val="en-GB"/>
        </w:rPr>
        <w:instrText xml:space="preserve"> SEQ level0 \*arabic </w:instrText>
      </w:r>
      <w:r w:rsidRPr="00E116B6">
        <w:rPr>
          <w:lang w:val="en-GB"/>
        </w:rPr>
        <w:fldChar w:fldCharType="separate"/>
      </w:r>
      <w:r w:rsidRPr="00E116B6" w:rsidR="00E116B6">
        <w:rPr>
          <w:noProof/>
          <w:lang w:val="en-GB"/>
        </w:rPr>
        <w:t>158</w:t>
      </w:r>
      <w:r w:rsidRPr="00E116B6">
        <w:rPr>
          <w:lang w:val="en-GB"/>
        </w:rPr>
        <w:fldChar w:fldCharType="end"/>
      </w:r>
      <w:r w:rsidRPr="00E116B6" w:rsidR="00014566">
        <w:rPr>
          <w:lang w:val="en-GB"/>
        </w:rPr>
        <w:t xml:space="preserve">.  The Court considers it appropriate that the default interest rate should be based </w:t>
      </w:r>
      <w:r w:rsidRPr="00E116B6" w:rsidR="006555F4">
        <w:rPr>
          <w:lang w:val="en-GB"/>
        </w:rPr>
        <w:t xml:space="preserve">on </w:t>
      </w:r>
      <w:r w:rsidRPr="00E116B6" w:rsidR="00014566">
        <w:rPr>
          <w:lang w:val="en-GB"/>
        </w:rPr>
        <w:t>the marginal lending rate of the European Central Bank, to which should be added three percentage points.</w:t>
      </w:r>
    </w:p>
    <w:p w:rsidRPr="00E116B6" w:rsidR="00014566" w:rsidP="00E116B6" w:rsidRDefault="00BB5883">
      <w:pPr>
        <w:pStyle w:val="ECHRTitle1"/>
        <w:rPr>
          <w:lang w:val="en-GB"/>
        </w:rPr>
      </w:pPr>
      <w:r w:rsidRPr="00E116B6">
        <w:rPr>
          <w:lang w:val="en-GB"/>
        </w:rPr>
        <w:t>FOR THESE REASONS, THE COURT</w:t>
      </w:r>
      <w:r w:rsidRPr="00E116B6" w:rsidR="00C529BE">
        <w:rPr>
          <w:lang w:val="en-GB"/>
        </w:rPr>
        <w:t>,</w:t>
      </w:r>
      <w:r w:rsidRPr="00E116B6" w:rsidR="002D16A7">
        <w:rPr>
          <w:lang w:val="en-GB"/>
        </w:rPr>
        <w:t xml:space="preserve"> </w:t>
      </w:r>
      <w:r w:rsidRPr="00E116B6" w:rsidR="00570E7B">
        <w:rPr>
          <w:lang w:val="en-GB"/>
        </w:rPr>
        <w:t>UNANIMOUSLY,</w:t>
      </w:r>
    </w:p>
    <w:p w:rsidRPr="00E116B6" w:rsidR="00AC1180" w:rsidP="00E116B6" w:rsidRDefault="00B637B9">
      <w:pPr>
        <w:pStyle w:val="JuList"/>
      </w:pPr>
      <w:r w:rsidRPr="00E116B6">
        <w:t>1.  </w:t>
      </w:r>
      <w:r w:rsidRPr="00E116B6">
        <w:rPr>
          <w:i/>
        </w:rPr>
        <w:t>Declares</w:t>
      </w:r>
      <w:r w:rsidRPr="00E116B6" w:rsidR="00570E7B">
        <w:t xml:space="preserve"> </w:t>
      </w:r>
      <w:r w:rsidRPr="00E116B6" w:rsidR="00017CFF">
        <w:t xml:space="preserve">admissible </w:t>
      </w:r>
      <w:r w:rsidRPr="00E116B6">
        <w:t>the complaints</w:t>
      </w:r>
      <w:r w:rsidRPr="00E116B6" w:rsidR="00443921">
        <w:t xml:space="preserve"> under Article 3</w:t>
      </w:r>
      <w:r w:rsidRPr="00E116B6" w:rsidR="006B3AE1">
        <w:t>, Article 5 §§ 1 and 3</w:t>
      </w:r>
      <w:r w:rsidRPr="00E116B6" w:rsidR="00443921">
        <w:t xml:space="preserve"> and Article 6 </w:t>
      </w:r>
      <w:r w:rsidRPr="00E116B6" w:rsidR="00501845">
        <w:t>§</w:t>
      </w:r>
      <w:r w:rsidRPr="00E116B6" w:rsidR="00443921">
        <w:t xml:space="preserve"> 1 of the Conventi</w:t>
      </w:r>
      <w:r w:rsidRPr="00E116B6" w:rsidR="006555F4">
        <w:t xml:space="preserve">on </w:t>
      </w:r>
      <w:r w:rsidRPr="00E116B6">
        <w:t>concerning</w:t>
      </w:r>
      <w:r w:rsidRPr="00E116B6" w:rsidR="00017CFF">
        <w:t xml:space="preserve"> the following issues:</w:t>
      </w:r>
    </w:p>
    <w:p w:rsidRPr="00E116B6" w:rsidR="00AC1180" w:rsidP="00E116B6" w:rsidRDefault="00BD03AB">
      <w:pPr>
        <w:pStyle w:val="JuListi"/>
      </w:pPr>
      <w:r w:rsidRPr="00E116B6">
        <w:t>(i)  </w:t>
      </w:r>
      <w:r w:rsidRPr="00E116B6" w:rsidR="00443921">
        <w:t>the first applicant</w:t>
      </w:r>
      <w:r w:rsidRPr="00E116B6" w:rsidR="00E116B6">
        <w:t>’</w:t>
      </w:r>
      <w:r w:rsidRPr="00E116B6" w:rsidR="00443921">
        <w:t xml:space="preserve">s ill-treatment by the police </w:t>
      </w:r>
      <w:r w:rsidRPr="00E116B6" w:rsidR="006555F4">
        <w:t xml:space="preserve">on </w:t>
      </w:r>
      <w:r w:rsidRPr="00E116B6" w:rsidR="00443921">
        <w:t>13 May 2004</w:t>
      </w:r>
      <w:r w:rsidRPr="00E116B6" w:rsidR="00017CFF">
        <w:t>,</w:t>
      </w:r>
    </w:p>
    <w:p w:rsidRPr="00E116B6" w:rsidR="00AC1180" w:rsidP="00E116B6" w:rsidRDefault="00F46DC9">
      <w:pPr>
        <w:pStyle w:val="JuListi"/>
      </w:pPr>
      <w:r w:rsidRPr="00E116B6">
        <w:t>(ii)</w:t>
      </w:r>
      <w:r w:rsidRPr="00E116B6" w:rsidR="00BD03AB">
        <w:t>  </w:t>
      </w:r>
      <w:r w:rsidRPr="00E116B6" w:rsidR="006B3AE1">
        <w:t xml:space="preserve">the unlawfulness </w:t>
      </w:r>
      <w:r w:rsidRPr="00E116B6" w:rsidR="003033F0">
        <w:t>of both</w:t>
      </w:r>
      <w:r w:rsidRPr="00E116B6">
        <w:t xml:space="preserve"> </w:t>
      </w:r>
      <w:r w:rsidRPr="00E116B6" w:rsidR="006B3AE1">
        <w:t>applicants</w:t>
      </w:r>
      <w:r w:rsidRPr="00E116B6" w:rsidR="00E116B6">
        <w:t>’</w:t>
      </w:r>
      <w:r w:rsidRPr="00E116B6" w:rsidR="006B3AE1">
        <w:t xml:space="preserve"> pre-trial detenti</w:t>
      </w:r>
      <w:r w:rsidRPr="00E116B6" w:rsidR="006555F4">
        <w:t xml:space="preserve">on </w:t>
      </w:r>
      <w:r w:rsidRPr="00E116B6">
        <w:t>between 13</w:t>
      </w:r>
      <w:r w:rsidRPr="00E116B6" w:rsidR="0000400E">
        <w:t> </w:t>
      </w:r>
      <w:r w:rsidRPr="00E116B6">
        <w:t>January</w:t>
      </w:r>
      <w:r w:rsidRPr="00E116B6" w:rsidR="007148F4">
        <w:t xml:space="preserve"> 2005</w:t>
      </w:r>
      <w:r w:rsidRPr="00E116B6">
        <w:t xml:space="preserve"> and 7 June 2005,</w:t>
      </w:r>
    </w:p>
    <w:p w:rsidRPr="00E116B6" w:rsidR="00AC1180" w:rsidP="00E116B6" w:rsidRDefault="00BD03AB">
      <w:pPr>
        <w:pStyle w:val="JuListi"/>
      </w:pPr>
      <w:r w:rsidRPr="00E116B6">
        <w:t>(iii)  </w:t>
      </w:r>
      <w:r w:rsidRPr="00E116B6" w:rsidR="00F46DC9">
        <w:t xml:space="preserve">the </w:t>
      </w:r>
      <w:r w:rsidRPr="00E116B6" w:rsidR="00017CFF">
        <w:t>absence of sufficient</w:t>
      </w:r>
      <w:r w:rsidRPr="00E116B6" w:rsidR="00F46DC9">
        <w:t xml:space="preserve"> reasons in the detenti</w:t>
      </w:r>
      <w:r w:rsidRPr="00E116B6" w:rsidR="006555F4">
        <w:t xml:space="preserve">on </w:t>
      </w:r>
      <w:r w:rsidRPr="00E116B6" w:rsidR="00F46DC9">
        <w:t xml:space="preserve">orders of </w:t>
      </w:r>
      <w:r w:rsidRPr="00E116B6" w:rsidR="00017CFF">
        <w:t>10</w:t>
      </w:r>
      <w:r w:rsidRPr="00E116B6" w:rsidR="0000400E">
        <w:t> </w:t>
      </w:r>
      <w:r w:rsidRPr="00E116B6" w:rsidR="00017CFF">
        <w:t>November 2004 and 7 June 2005,</w:t>
      </w:r>
      <w:r w:rsidRPr="00E116B6" w:rsidR="00443921">
        <w:t xml:space="preserve"> and</w:t>
      </w:r>
    </w:p>
    <w:p w:rsidRPr="00E116B6" w:rsidR="00421063" w:rsidP="00E116B6" w:rsidRDefault="00017CFF">
      <w:pPr>
        <w:pStyle w:val="JuListi"/>
      </w:pPr>
      <w:r w:rsidRPr="00E116B6">
        <w:t>(iv)</w:t>
      </w:r>
      <w:r w:rsidRPr="00E116B6" w:rsidR="00BD03AB">
        <w:t>  </w:t>
      </w:r>
      <w:r w:rsidRPr="00E116B6" w:rsidR="00443921">
        <w:t xml:space="preserve"> the unfairness of the criminal proceedings against </w:t>
      </w:r>
      <w:r w:rsidRPr="00E116B6">
        <w:t>the applicants</w:t>
      </w:r>
      <w:r w:rsidRPr="00E116B6" w:rsidR="00421063">
        <w:t>;</w:t>
      </w:r>
    </w:p>
    <w:p w:rsidRPr="00E116B6" w:rsidR="00BD03AB" w:rsidP="00E116B6" w:rsidRDefault="00BD03AB">
      <w:pPr>
        <w:pStyle w:val="JuList"/>
      </w:pPr>
    </w:p>
    <w:p w:rsidRPr="00E116B6" w:rsidR="00B637B9" w:rsidP="00E116B6" w:rsidRDefault="00421063">
      <w:pPr>
        <w:pStyle w:val="JuList"/>
        <w:rPr>
          <w:lang w:val="en-GB"/>
        </w:rPr>
      </w:pPr>
      <w:r w:rsidRPr="00E116B6">
        <w:rPr>
          <w:lang w:val="en-GB"/>
        </w:rPr>
        <w:t>2.  </w:t>
      </w:r>
      <w:r w:rsidRPr="00E116B6">
        <w:rPr>
          <w:i/>
          <w:lang w:val="en-GB"/>
        </w:rPr>
        <w:t>Declares</w:t>
      </w:r>
      <w:r w:rsidRPr="00E116B6">
        <w:rPr>
          <w:lang w:val="en-GB"/>
        </w:rPr>
        <w:t xml:space="preserve"> </w:t>
      </w:r>
      <w:r w:rsidRPr="00E116B6" w:rsidR="00017CFF">
        <w:rPr>
          <w:lang w:val="en-GB"/>
        </w:rPr>
        <w:t xml:space="preserve">inadmissible </w:t>
      </w:r>
      <w:r w:rsidRPr="00E116B6">
        <w:rPr>
          <w:lang w:val="en-GB"/>
        </w:rPr>
        <w:t>the complaints under Article 3</w:t>
      </w:r>
      <w:r w:rsidRPr="00E116B6" w:rsidR="00F46DC9">
        <w:rPr>
          <w:lang w:val="en-GB"/>
        </w:rPr>
        <w:t xml:space="preserve"> and Article 5 </w:t>
      </w:r>
      <w:r w:rsidRPr="00E116B6" w:rsidR="00F46DC9">
        <w:rPr>
          <w:rFonts w:cstheme="minorHAnsi"/>
          <w:lang w:val="en-GB"/>
        </w:rPr>
        <w:t>§</w:t>
      </w:r>
      <w:r w:rsidRPr="00E116B6" w:rsidR="00F46DC9">
        <w:rPr>
          <w:lang w:val="en-GB"/>
        </w:rPr>
        <w:t xml:space="preserve"> 4</w:t>
      </w:r>
      <w:r w:rsidRPr="00E116B6">
        <w:rPr>
          <w:lang w:val="en-GB"/>
        </w:rPr>
        <w:t xml:space="preserve"> of the Conventi</w:t>
      </w:r>
      <w:r w:rsidRPr="00E116B6" w:rsidR="006555F4">
        <w:rPr>
          <w:lang w:val="en-GB"/>
        </w:rPr>
        <w:t xml:space="preserve">on </w:t>
      </w:r>
      <w:r w:rsidRPr="00E116B6">
        <w:rPr>
          <w:lang w:val="en-GB"/>
        </w:rPr>
        <w:t>concerning both applicants</w:t>
      </w:r>
      <w:r w:rsidRPr="00E116B6" w:rsidR="00E116B6">
        <w:rPr>
          <w:lang w:val="en-GB"/>
        </w:rPr>
        <w:t>’</w:t>
      </w:r>
      <w:r w:rsidRPr="00E116B6">
        <w:rPr>
          <w:lang w:val="en-GB"/>
        </w:rPr>
        <w:t xml:space="preserve"> conditions of detenti</w:t>
      </w:r>
      <w:r w:rsidRPr="00E116B6" w:rsidR="006555F4">
        <w:rPr>
          <w:lang w:val="en-GB"/>
        </w:rPr>
        <w:t xml:space="preserve">on </w:t>
      </w:r>
      <w:r w:rsidRPr="00E116B6">
        <w:rPr>
          <w:lang w:val="en-GB"/>
        </w:rPr>
        <w:t>in the relevant prison</w:t>
      </w:r>
      <w:r w:rsidRPr="00E116B6" w:rsidR="0078201E">
        <w:rPr>
          <w:lang w:val="en-GB"/>
        </w:rPr>
        <w:t>s</w:t>
      </w:r>
      <w:r w:rsidRPr="00E116B6">
        <w:rPr>
          <w:lang w:val="en-GB"/>
        </w:rPr>
        <w:t xml:space="preserve"> </w:t>
      </w:r>
      <w:r w:rsidRPr="00E116B6" w:rsidR="006B3AE1">
        <w:rPr>
          <w:lang w:val="en-GB"/>
        </w:rPr>
        <w:t>and the</w:t>
      </w:r>
      <w:r w:rsidRPr="00E116B6" w:rsidR="00F46DC9">
        <w:rPr>
          <w:lang w:val="en-GB"/>
        </w:rPr>
        <w:t xml:space="preserve"> fairness of the judicial review of 10</w:t>
      </w:r>
      <w:r w:rsidRPr="00E116B6" w:rsidR="00A05C4D">
        <w:rPr>
          <w:lang w:val="en-GB"/>
        </w:rPr>
        <w:t> </w:t>
      </w:r>
      <w:r w:rsidRPr="00E116B6" w:rsidR="00F46DC9">
        <w:rPr>
          <w:lang w:val="en-GB"/>
        </w:rPr>
        <w:t>November 2004</w:t>
      </w:r>
      <w:r w:rsidRPr="00E116B6">
        <w:rPr>
          <w:lang w:val="en-GB"/>
        </w:rPr>
        <w:t>;</w:t>
      </w:r>
    </w:p>
    <w:p w:rsidRPr="00E116B6" w:rsidR="00014566" w:rsidP="00E116B6" w:rsidRDefault="00014566">
      <w:pPr>
        <w:pStyle w:val="JuList"/>
        <w:ind w:left="0" w:firstLine="0"/>
        <w:rPr>
          <w:lang w:val="en-GB"/>
        </w:rPr>
      </w:pPr>
    </w:p>
    <w:p w:rsidRPr="00E116B6" w:rsidR="00014566" w:rsidP="00E116B6" w:rsidRDefault="00421063">
      <w:pPr>
        <w:pStyle w:val="JuList"/>
        <w:rPr>
          <w:lang w:val="en-GB"/>
        </w:rPr>
      </w:pPr>
      <w:r w:rsidRPr="00E116B6">
        <w:rPr>
          <w:lang w:val="en-GB"/>
        </w:rPr>
        <w:t>3</w:t>
      </w:r>
      <w:r w:rsidRPr="00E116B6" w:rsidR="00014566">
        <w:rPr>
          <w:lang w:val="en-GB"/>
        </w:rPr>
        <w:t>.  </w:t>
      </w:r>
      <w:r w:rsidRPr="00E116B6" w:rsidR="00014566">
        <w:rPr>
          <w:i/>
          <w:lang w:val="en-GB"/>
        </w:rPr>
        <w:t>Holds</w:t>
      </w:r>
      <w:r w:rsidRPr="00E116B6" w:rsidR="00570E7B">
        <w:rPr>
          <w:lang w:val="en-GB"/>
        </w:rPr>
        <w:t xml:space="preserve"> </w:t>
      </w:r>
      <w:r w:rsidRPr="00E116B6" w:rsidR="00014566">
        <w:rPr>
          <w:lang w:val="en-GB"/>
        </w:rPr>
        <w:t>that there has been a violati</w:t>
      </w:r>
      <w:r w:rsidRPr="00E116B6" w:rsidR="006555F4">
        <w:rPr>
          <w:lang w:val="en-GB"/>
        </w:rPr>
        <w:t xml:space="preserve">on </w:t>
      </w:r>
      <w:r w:rsidRPr="00E116B6" w:rsidR="00014566">
        <w:rPr>
          <w:lang w:val="en-GB"/>
        </w:rPr>
        <w:t xml:space="preserve">of Article </w:t>
      </w:r>
      <w:r w:rsidRPr="00E116B6" w:rsidR="00443921">
        <w:rPr>
          <w:lang w:val="en-GB"/>
        </w:rPr>
        <w:t>3</w:t>
      </w:r>
      <w:r w:rsidRPr="00E116B6" w:rsidR="00014566">
        <w:rPr>
          <w:lang w:val="en-GB"/>
        </w:rPr>
        <w:t xml:space="preserve"> of the Conventi</w:t>
      </w:r>
      <w:r w:rsidRPr="00E116B6" w:rsidR="006555F4">
        <w:rPr>
          <w:lang w:val="en-GB"/>
        </w:rPr>
        <w:t xml:space="preserve">on </w:t>
      </w:r>
      <w:r w:rsidRPr="00E116B6" w:rsidR="007148F4">
        <w:rPr>
          <w:lang w:val="en-GB"/>
        </w:rPr>
        <w:t xml:space="preserve">under both its substantive and procedural limbs </w:t>
      </w:r>
      <w:r w:rsidRPr="00E116B6" w:rsidR="006555F4">
        <w:rPr>
          <w:lang w:val="en-GB"/>
        </w:rPr>
        <w:t xml:space="preserve">on </w:t>
      </w:r>
      <w:r w:rsidRPr="00E116B6" w:rsidR="00443921">
        <w:rPr>
          <w:lang w:val="en-GB"/>
        </w:rPr>
        <w:t>account of the first applicant</w:t>
      </w:r>
      <w:r w:rsidRPr="00E116B6" w:rsidR="00E116B6">
        <w:rPr>
          <w:lang w:val="en-GB"/>
        </w:rPr>
        <w:t>’</w:t>
      </w:r>
      <w:r w:rsidRPr="00E116B6" w:rsidR="00443921">
        <w:rPr>
          <w:lang w:val="en-GB"/>
        </w:rPr>
        <w:t xml:space="preserve">s </w:t>
      </w:r>
      <w:r w:rsidRPr="00E116B6" w:rsidR="007F58C0">
        <w:rPr>
          <w:lang w:val="en-GB"/>
        </w:rPr>
        <w:t>torture</w:t>
      </w:r>
      <w:r w:rsidRPr="00E116B6">
        <w:rPr>
          <w:lang w:val="en-GB"/>
        </w:rPr>
        <w:t xml:space="preserve"> by the police </w:t>
      </w:r>
      <w:r w:rsidRPr="00E116B6" w:rsidR="006555F4">
        <w:rPr>
          <w:lang w:val="en-GB"/>
        </w:rPr>
        <w:t xml:space="preserve">on </w:t>
      </w:r>
      <w:r w:rsidRPr="00E116B6">
        <w:rPr>
          <w:lang w:val="en-GB"/>
        </w:rPr>
        <w:t>13</w:t>
      </w:r>
      <w:r w:rsidRPr="00E116B6" w:rsidR="001E1626">
        <w:rPr>
          <w:lang w:val="en-GB"/>
        </w:rPr>
        <w:t> </w:t>
      </w:r>
      <w:r w:rsidRPr="00E116B6">
        <w:rPr>
          <w:lang w:val="en-GB"/>
        </w:rPr>
        <w:t>May 2004</w:t>
      </w:r>
      <w:r w:rsidRPr="00E116B6" w:rsidR="00014566">
        <w:rPr>
          <w:lang w:val="en-GB"/>
        </w:rPr>
        <w:t>;</w:t>
      </w:r>
    </w:p>
    <w:p w:rsidRPr="00E116B6" w:rsidR="00F46DC9" w:rsidP="00E116B6" w:rsidRDefault="00F46DC9">
      <w:pPr>
        <w:pStyle w:val="JuList"/>
        <w:rPr>
          <w:lang w:val="en-GB"/>
        </w:rPr>
      </w:pPr>
    </w:p>
    <w:p w:rsidRPr="00E116B6" w:rsidR="00F46DC9" w:rsidP="00E116B6" w:rsidRDefault="00F46DC9">
      <w:pPr>
        <w:pStyle w:val="JuList"/>
        <w:rPr>
          <w:lang w:val="en-GB"/>
        </w:rPr>
      </w:pPr>
      <w:r w:rsidRPr="00E116B6">
        <w:rPr>
          <w:lang w:val="en-GB"/>
        </w:rPr>
        <w:t>4.</w:t>
      </w:r>
      <w:r w:rsidRPr="00E116B6" w:rsidR="00AC1180">
        <w:rPr>
          <w:i/>
          <w:lang w:val="en-GB"/>
        </w:rPr>
        <w:t>  </w:t>
      </w:r>
      <w:r w:rsidRPr="00E116B6">
        <w:rPr>
          <w:i/>
          <w:lang w:val="en-GB"/>
        </w:rPr>
        <w:t>Holds</w:t>
      </w:r>
      <w:r w:rsidRPr="00E116B6">
        <w:rPr>
          <w:lang w:val="en-GB"/>
        </w:rPr>
        <w:t xml:space="preserve"> that there has been a violati</w:t>
      </w:r>
      <w:r w:rsidRPr="00E116B6" w:rsidR="006555F4">
        <w:rPr>
          <w:lang w:val="en-GB"/>
        </w:rPr>
        <w:t xml:space="preserve">on </w:t>
      </w:r>
      <w:r w:rsidRPr="00E116B6">
        <w:rPr>
          <w:lang w:val="en-GB"/>
        </w:rPr>
        <w:t xml:space="preserve">of Article 5 </w:t>
      </w:r>
      <w:r w:rsidRPr="00E116B6">
        <w:rPr>
          <w:rFonts w:cstheme="minorHAnsi"/>
          <w:lang w:val="en-GB"/>
        </w:rPr>
        <w:t>§</w:t>
      </w:r>
      <w:r w:rsidRPr="00E116B6">
        <w:rPr>
          <w:lang w:val="en-GB"/>
        </w:rPr>
        <w:t xml:space="preserve"> 1 of the Conventi</w:t>
      </w:r>
      <w:r w:rsidRPr="00E116B6" w:rsidR="006555F4">
        <w:rPr>
          <w:lang w:val="en-GB"/>
        </w:rPr>
        <w:t xml:space="preserve">on on </w:t>
      </w:r>
      <w:r w:rsidRPr="00E116B6">
        <w:rPr>
          <w:lang w:val="en-GB"/>
        </w:rPr>
        <w:t>account of the unlawfulness of the applicants</w:t>
      </w:r>
      <w:r w:rsidRPr="00E116B6" w:rsidR="00E116B6">
        <w:rPr>
          <w:lang w:val="en-GB"/>
        </w:rPr>
        <w:t>’</w:t>
      </w:r>
      <w:r w:rsidRPr="00E116B6">
        <w:rPr>
          <w:lang w:val="en-GB"/>
        </w:rPr>
        <w:t xml:space="preserve"> pre-trial detenti</w:t>
      </w:r>
      <w:r w:rsidRPr="00E116B6" w:rsidR="006555F4">
        <w:rPr>
          <w:lang w:val="en-GB"/>
        </w:rPr>
        <w:t xml:space="preserve">on </w:t>
      </w:r>
      <w:r w:rsidRPr="00E116B6">
        <w:rPr>
          <w:lang w:val="en-GB"/>
        </w:rPr>
        <w:t>between 13 January</w:t>
      </w:r>
      <w:r w:rsidRPr="00E116B6" w:rsidR="007148F4">
        <w:rPr>
          <w:lang w:val="en-GB"/>
        </w:rPr>
        <w:t xml:space="preserve"> 2005</w:t>
      </w:r>
      <w:r w:rsidRPr="00E116B6">
        <w:rPr>
          <w:lang w:val="en-GB"/>
        </w:rPr>
        <w:t xml:space="preserve"> and 7 June 2005;</w:t>
      </w:r>
    </w:p>
    <w:p w:rsidRPr="00E116B6" w:rsidR="00F46DC9" w:rsidP="00E116B6" w:rsidRDefault="00F46DC9">
      <w:pPr>
        <w:pStyle w:val="JuList"/>
        <w:rPr>
          <w:lang w:val="en-GB"/>
        </w:rPr>
      </w:pPr>
    </w:p>
    <w:p w:rsidRPr="00E116B6" w:rsidR="00F46DC9" w:rsidP="00E116B6" w:rsidRDefault="00F46DC9">
      <w:pPr>
        <w:pStyle w:val="JuList"/>
        <w:rPr>
          <w:lang w:val="en-GB"/>
        </w:rPr>
      </w:pPr>
      <w:r w:rsidRPr="00E116B6">
        <w:rPr>
          <w:lang w:val="en-GB"/>
        </w:rPr>
        <w:t>5.</w:t>
      </w:r>
      <w:r w:rsidRPr="00E116B6" w:rsidR="00AC1180">
        <w:rPr>
          <w:i/>
          <w:lang w:val="en-GB"/>
        </w:rPr>
        <w:t>  </w:t>
      </w:r>
      <w:r w:rsidRPr="00E116B6">
        <w:rPr>
          <w:i/>
          <w:lang w:val="en-GB"/>
        </w:rPr>
        <w:t>Holds</w:t>
      </w:r>
      <w:r w:rsidRPr="00E116B6">
        <w:rPr>
          <w:lang w:val="en-GB"/>
        </w:rPr>
        <w:t xml:space="preserve"> that there has been a violati</w:t>
      </w:r>
      <w:r w:rsidRPr="00E116B6" w:rsidR="006555F4">
        <w:rPr>
          <w:lang w:val="en-GB"/>
        </w:rPr>
        <w:t xml:space="preserve">on </w:t>
      </w:r>
      <w:r w:rsidRPr="00E116B6">
        <w:rPr>
          <w:lang w:val="en-GB"/>
        </w:rPr>
        <w:t xml:space="preserve">of Article 5 </w:t>
      </w:r>
      <w:r w:rsidRPr="00E116B6">
        <w:rPr>
          <w:rFonts w:cstheme="minorHAnsi"/>
          <w:lang w:val="en-GB"/>
        </w:rPr>
        <w:t>§</w:t>
      </w:r>
      <w:r w:rsidRPr="00E116B6">
        <w:rPr>
          <w:lang w:val="en-GB"/>
        </w:rPr>
        <w:t xml:space="preserve"> 3 of the Conventi</w:t>
      </w:r>
      <w:r w:rsidRPr="00E116B6" w:rsidR="006555F4">
        <w:rPr>
          <w:lang w:val="en-GB"/>
        </w:rPr>
        <w:t xml:space="preserve">on on </w:t>
      </w:r>
      <w:r w:rsidRPr="00E116B6">
        <w:rPr>
          <w:lang w:val="en-GB"/>
        </w:rPr>
        <w:t xml:space="preserve">account of the </w:t>
      </w:r>
      <w:r w:rsidRPr="00E116B6" w:rsidR="00017CFF">
        <w:rPr>
          <w:lang w:val="en-GB"/>
        </w:rPr>
        <w:t xml:space="preserve">absence of sufficient </w:t>
      </w:r>
      <w:r w:rsidRPr="00E116B6">
        <w:rPr>
          <w:lang w:val="en-GB"/>
        </w:rPr>
        <w:t xml:space="preserve">reasons </w:t>
      </w:r>
      <w:r w:rsidRPr="00E116B6" w:rsidR="00017CFF">
        <w:rPr>
          <w:lang w:val="en-GB"/>
        </w:rPr>
        <w:t>in the detenti</w:t>
      </w:r>
      <w:r w:rsidRPr="00E116B6" w:rsidR="006555F4">
        <w:rPr>
          <w:lang w:val="en-GB"/>
        </w:rPr>
        <w:t xml:space="preserve">on </w:t>
      </w:r>
      <w:r w:rsidRPr="00E116B6" w:rsidR="00017CFF">
        <w:rPr>
          <w:lang w:val="en-GB"/>
        </w:rPr>
        <w:t>orders of</w:t>
      </w:r>
      <w:r w:rsidRPr="00E116B6">
        <w:rPr>
          <w:lang w:val="en-GB"/>
        </w:rPr>
        <w:t xml:space="preserve"> 10</w:t>
      </w:r>
      <w:r w:rsidRPr="00E116B6" w:rsidR="00A05C4D">
        <w:rPr>
          <w:lang w:val="en-GB"/>
        </w:rPr>
        <w:t> </w:t>
      </w:r>
      <w:r w:rsidRPr="00E116B6">
        <w:rPr>
          <w:lang w:val="en-GB"/>
        </w:rPr>
        <w:t>November 2004 and 7</w:t>
      </w:r>
      <w:r w:rsidRPr="00E116B6" w:rsidR="0000400E">
        <w:rPr>
          <w:lang w:val="en-GB"/>
        </w:rPr>
        <w:t> </w:t>
      </w:r>
      <w:r w:rsidRPr="00E116B6">
        <w:rPr>
          <w:lang w:val="en-GB"/>
        </w:rPr>
        <w:t>June 2005;</w:t>
      </w:r>
    </w:p>
    <w:p w:rsidRPr="00E116B6" w:rsidR="00014566" w:rsidP="00E116B6" w:rsidRDefault="00014566">
      <w:pPr>
        <w:pStyle w:val="JuList"/>
        <w:rPr>
          <w:lang w:val="en-GB"/>
        </w:rPr>
      </w:pPr>
    </w:p>
    <w:p w:rsidRPr="00E116B6" w:rsidR="00014566" w:rsidP="00E116B6" w:rsidRDefault="00017CFF">
      <w:pPr>
        <w:pStyle w:val="JuList"/>
        <w:rPr>
          <w:lang w:val="en-GB"/>
        </w:rPr>
      </w:pPr>
      <w:r w:rsidRPr="00E116B6">
        <w:rPr>
          <w:lang w:val="en-GB"/>
        </w:rPr>
        <w:t>6</w:t>
      </w:r>
      <w:r w:rsidRPr="00E116B6" w:rsidR="00014566">
        <w:rPr>
          <w:lang w:val="en-GB"/>
        </w:rPr>
        <w:t>.  </w:t>
      </w:r>
      <w:r w:rsidRPr="00E116B6" w:rsidR="00014566">
        <w:rPr>
          <w:i/>
          <w:lang w:val="en-GB"/>
        </w:rPr>
        <w:t>Holds</w:t>
      </w:r>
      <w:r w:rsidRPr="00E116B6" w:rsidR="00570E7B">
        <w:rPr>
          <w:lang w:val="en-GB"/>
        </w:rPr>
        <w:t xml:space="preserve"> </w:t>
      </w:r>
      <w:r w:rsidRPr="00E116B6" w:rsidR="00014566">
        <w:rPr>
          <w:lang w:val="en-GB"/>
        </w:rPr>
        <w:t>that there has been a violati</w:t>
      </w:r>
      <w:r w:rsidRPr="00E116B6" w:rsidR="006555F4">
        <w:rPr>
          <w:lang w:val="en-GB"/>
        </w:rPr>
        <w:t xml:space="preserve">on </w:t>
      </w:r>
      <w:r w:rsidRPr="00E116B6" w:rsidR="00014566">
        <w:rPr>
          <w:lang w:val="en-GB"/>
        </w:rPr>
        <w:t>of Article</w:t>
      </w:r>
      <w:r w:rsidRPr="00E116B6" w:rsidR="00443921">
        <w:rPr>
          <w:lang w:val="en-GB"/>
        </w:rPr>
        <w:t xml:space="preserve"> 6 </w:t>
      </w:r>
      <w:r w:rsidRPr="00E116B6" w:rsidR="00443921">
        <w:rPr>
          <w:rFonts w:cstheme="minorHAnsi"/>
          <w:lang w:val="en-GB"/>
        </w:rPr>
        <w:t>§</w:t>
      </w:r>
      <w:r w:rsidRPr="00E116B6" w:rsidR="00443921">
        <w:rPr>
          <w:lang w:val="en-GB"/>
        </w:rPr>
        <w:t xml:space="preserve"> 1 </w:t>
      </w:r>
      <w:r w:rsidRPr="00E116B6" w:rsidR="00014566">
        <w:rPr>
          <w:lang w:val="en-GB"/>
        </w:rPr>
        <w:t>of the Conventi</w:t>
      </w:r>
      <w:r w:rsidRPr="00E116B6" w:rsidR="006555F4">
        <w:rPr>
          <w:lang w:val="en-GB"/>
        </w:rPr>
        <w:t xml:space="preserve">on on </w:t>
      </w:r>
      <w:r w:rsidRPr="00E116B6" w:rsidR="00443921">
        <w:rPr>
          <w:lang w:val="en-GB"/>
        </w:rPr>
        <w:t xml:space="preserve">account of the unfairness of the criminal proceedings </w:t>
      </w:r>
      <w:r w:rsidRPr="00E116B6" w:rsidR="00421063">
        <w:rPr>
          <w:lang w:val="en-GB"/>
        </w:rPr>
        <w:t xml:space="preserve">against </w:t>
      </w:r>
      <w:r w:rsidRPr="00E116B6" w:rsidR="0078201E">
        <w:rPr>
          <w:lang w:val="en-GB"/>
        </w:rPr>
        <w:t>the</w:t>
      </w:r>
      <w:r w:rsidRPr="00E116B6" w:rsidR="00421063">
        <w:rPr>
          <w:lang w:val="en-GB"/>
        </w:rPr>
        <w:t xml:space="preserve"> applicants</w:t>
      </w:r>
      <w:r w:rsidRPr="00E116B6" w:rsidR="00014566">
        <w:rPr>
          <w:lang w:val="en-GB"/>
        </w:rPr>
        <w:t>;</w:t>
      </w:r>
    </w:p>
    <w:p w:rsidRPr="00E116B6" w:rsidR="00501845" w:rsidP="00E116B6" w:rsidRDefault="00501845">
      <w:pPr>
        <w:pStyle w:val="JuList"/>
        <w:rPr>
          <w:lang w:val="en-GB"/>
        </w:rPr>
      </w:pPr>
    </w:p>
    <w:p w:rsidRPr="00E116B6" w:rsidR="00501845" w:rsidP="00E116B6" w:rsidRDefault="00017CFF">
      <w:pPr>
        <w:pStyle w:val="JuList"/>
        <w:rPr>
          <w:lang w:val="en-GB"/>
        </w:rPr>
      </w:pPr>
      <w:r w:rsidRPr="00E116B6">
        <w:rPr>
          <w:lang w:val="en-GB"/>
        </w:rPr>
        <w:t>7</w:t>
      </w:r>
      <w:r w:rsidRPr="00E116B6" w:rsidR="00501845">
        <w:rPr>
          <w:lang w:val="en-GB"/>
        </w:rPr>
        <w:t>.  </w:t>
      </w:r>
      <w:r w:rsidRPr="00E116B6" w:rsidR="00501845">
        <w:rPr>
          <w:i/>
          <w:lang w:val="en-GB"/>
        </w:rPr>
        <w:t>Holds</w:t>
      </w:r>
      <w:r w:rsidRPr="00E116B6" w:rsidR="00501845">
        <w:rPr>
          <w:lang w:val="en-GB"/>
        </w:rPr>
        <w:t xml:space="preserve"> that it is not necessary to examine the admissibility and merits of </w:t>
      </w:r>
      <w:r w:rsidRPr="00E116B6" w:rsidR="006B3AE1">
        <w:rPr>
          <w:lang w:val="en-GB"/>
        </w:rPr>
        <w:t>both applicants</w:t>
      </w:r>
      <w:r w:rsidRPr="00E116B6" w:rsidR="00E116B6">
        <w:rPr>
          <w:lang w:val="en-GB"/>
        </w:rPr>
        <w:t>’</w:t>
      </w:r>
      <w:r w:rsidRPr="00E116B6" w:rsidR="006B3AE1">
        <w:rPr>
          <w:lang w:val="en-GB"/>
        </w:rPr>
        <w:t xml:space="preserve"> </w:t>
      </w:r>
      <w:r w:rsidRPr="00E116B6" w:rsidR="00501845">
        <w:rPr>
          <w:lang w:val="en-GB"/>
        </w:rPr>
        <w:t xml:space="preserve">complaints under Article 6 </w:t>
      </w:r>
      <w:r w:rsidRPr="00E116B6" w:rsidR="00501845">
        <w:rPr>
          <w:rFonts w:cstheme="minorHAnsi"/>
          <w:lang w:val="en-GB"/>
        </w:rPr>
        <w:t>§</w:t>
      </w:r>
      <w:r w:rsidRPr="00E116B6" w:rsidR="00501845">
        <w:rPr>
          <w:lang w:val="en-GB"/>
        </w:rPr>
        <w:t xml:space="preserve"> 3 (c) taken in conjuncti</w:t>
      </w:r>
      <w:r w:rsidRPr="00E116B6" w:rsidR="006555F4">
        <w:rPr>
          <w:lang w:val="en-GB"/>
        </w:rPr>
        <w:t xml:space="preserve">on </w:t>
      </w:r>
      <w:r w:rsidRPr="00E116B6" w:rsidR="00501845">
        <w:rPr>
          <w:lang w:val="en-GB"/>
        </w:rPr>
        <w:t xml:space="preserve">with Article 6 </w:t>
      </w:r>
      <w:r w:rsidRPr="00E116B6" w:rsidR="00501845">
        <w:rPr>
          <w:rFonts w:cstheme="minorHAnsi"/>
          <w:lang w:val="en-GB"/>
        </w:rPr>
        <w:t>§</w:t>
      </w:r>
      <w:r w:rsidRPr="00E116B6" w:rsidR="00501845">
        <w:rPr>
          <w:lang w:val="en-GB"/>
        </w:rPr>
        <w:t xml:space="preserve"> 1</w:t>
      </w:r>
      <w:r w:rsidRPr="00E116B6" w:rsidR="00151CAD">
        <w:rPr>
          <w:lang w:val="en-GB"/>
        </w:rPr>
        <w:t xml:space="preserve"> </w:t>
      </w:r>
      <w:r w:rsidRPr="00E116B6" w:rsidR="0078201E">
        <w:rPr>
          <w:lang w:val="en-GB"/>
        </w:rPr>
        <w:t>as well as</w:t>
      </w:r>
      <w:r w:rsidRPr="00E116B6" w:rsidR="00A573EB">
        <w:rPr>
          <w:lang w:val="en-GB"/>
        </w:rPr>
        <w:t xml:space="preserve"> </w:t>
      </w:r>
      <w:r w:rsidRPr="00E116B6" w:rsidR="006B3AE1">
        <w:rPr>
          <w:lang w:val="en-GB"/>
        </w:rPr>
        <w:t>of the first applicant</w:t>
      </w:r>
      <w:r w:rsidRPr="00E116B6" w:rsidR="00E116B6">
        <w:rPr>
          <w:lang w:val="en-GB"/>
        </w:rPr>
        <w:t>’</w:t>
      </w:r>
      <w:r w:rsidRPr="00E116B6" w:rsidR="006B3AE1">
        <w:rPr>
          <w:lang w:val="en-GB"/>
        </w:rPr>
        <w:t>s complaint</w:t>
      </w:r>
      <w:r w:rsidRPr="00E116B6" w:rsidR="00151CAD">
        <w:rPr>
          <w:lang w:val="en-GB"/>
        </w:rPr>
        <w:t xml:space="preserve"> under Article 13 of the Conve</w:t>
      </w:r>
      <w:r w:rsidRPr="00E116B6" w:rsidR="0078201E">
        <w:rPr>
          <w:lang w:val="en-GB"/>
        </w:rPr>
        <w:t>n</w:t>
      </w:r>
      <w:r w:rsidRPr="00E116B6" w:rsidR="00151CAD">
        <w:rPr>
          <w:lang w:val="en-GB"/>
        </w:rPr>
        <w:t>tion</w:t>
      </w:r>
      <w:r w:rsidRPr="00E116B6" w:rsidR="00501845">
        <w:rPr>
          <w:lang w:val="en-GB"/>
        </w:rPr>
        <w:t>;</w:t>
      </w:r>
    </w:p>
    <w:p w:rsidRPr="00E116B6" w:rsidR="00014566" w:rsidP="00E116B6" w:rsidRDefault="00014566">
      <w:pPr>
        <w:pStyle w:val="JuList"/>
        <w:rPr>
          <w:lang w:val="en-GB"/>
        </w:rPr>
      </w:pPr>
    </w:p>
    <w:p w:rsidRPr="00E116B6" w:rsidR="00BD03AB" w:rsidP="00E116B6" w:rsidRDefault="00017CFF">
      <w:pPr>
        <w:pStyle w:val="JuList"/>
        <w:rPr>
          <w:lang w:val="en-GB"/>
        </w:rPr>
      </w:pPr>
      <w:r w:rsidRPr="00E116B6">
        <w:rPr>
          <w:lang w:val="en-GB"/>
        </w:rPr>
        <w:t>8</w:t>
      </w:r>
      <w:r w:rsidRPr="00E116B6" w:rsidR="00014566">
        <w:rPr>
          <w:lang w:val="en-GB"/>
        </w:rPr>
        <w:t>.  </w:t>
      </w:r>
      <w:r w:rsidRPr="00E116B6" w:rsidR="00014566">
        <w:rPr>
          <w:i/>
          <w:lang w:val="en-GB"/>
        </w:rPr>
        <w:t>Holds</w:t>
      </w:r>
    </w:p>
    <w:p w:rsidRPr="00E116B6" w:rsidR="00014566" w:rsidP="00E116B6" w:rsidRDefault="00014566">
      <w:pPr>
        <w:pStyle w:val="JuLista"/>
        <w:rPr>
          <w:lang w:val="en-GB"/>
        </w:rPr>
      </w:pPr>
      <w:r w:rsidRPr="00E116B6">
        <w:rPr>
          <w:lang w:val="en-GB"/>
        </w:rPr>
        <w:t>(a)  that the respondent State is to pay the applicant</w:t>
      </w:r>
      <w:r w:rsidRPr="00E116B6" w:rsidR="00570E7B">
        <w:rPr>
          <w:lang w:val="en-GB"/>
        </w:rPr>
        <w:t>s</w:t>
      </w:r>
      <w:r w:rsidRPr="00E116B6">
        <w:rPr>
          <w:lang w:val="en-GB"/>
        </w:rPr>
        <w:t>, within three months</w:t>
      </w:r>
      <w:r w:rsidRPr="00E116B6" w:rsidR="00AC1180">
        <w:rPr>
          <w:lang w:val="en-GB"/>
        </w:rPr>
        <w:t xml:space="preserve"> </w:t>
      </w:r>
      <w:r w:rsidRPr="00E116B6" w:rsidR="00570E7B">
        <w:rPr>
          <w:lang w:val="en-GB"/>
        </w:rPr>
        <w:t xml:space="preserve">from the date </w:t>
      </w:r>
      <w:r w:rsidRPr="00E116B6" w:rsidR="006555F4">
        <w:rPr>
          <w:lang w:val="en-GB"/>
        </w:rPr>
        <w:t xml:space="preserve">on </w:t>
      </w:r>
      <w:r w:rsidRPr="00E116B6" w:rsidR="00570E7B">
        <w:rPr>
          <w:lang w:val="en-GB"/>
        </w:rPr>
        <w:t>which the judgment becomes final in accordance with Article 44 § 2 of the Convention,</w:t>
      </w:r>
      <w:r w:rsidRPr="00E116B6">
        <w:rPr>
          <w:lang w:val="en-GB"/>
        </w:rPr>
        <w:t xml:space="preserve"> the following amounts,</w:t>
      </w:r>
      <w:r w:rsidRPr="00E116B6">
        <w:rPr>
          <w:b/>
          <w:lang w:val="en-GB"/>
        </w:rPr>
        <w:t xml:space="preserve"> </w:t>
      </w:r>
      <w:r w:rsidRPr="00E116B6">
        <w:rPr>
          <w:lang w:val="en-GB"/>
        </w:rPr>
        <w:t>to be converted into the currency of the respondent State at the rate applicable at the date of settlement:</w:t>
      </w:r>
    </w:p>
    <w:p w:rsidRPr="00E116B6" w:rsidR="00014566" w:rsidP="00E116B6" w:rsidRDefault="00014566">
      <w:pPr>
        <w:pStyle w:val="JuListi"/>
        <w:rPr>
          <w:lang w:val="en-GB"/>
        </w:rPr>
      </w:pPr>
      <w:r w:rsidRPr="00E116B6">
        <w:rPr>
          <w:lang w:val="en-GB"/>
        </w:rPr>
        <w:t xml:space="preserve">(i)  EUR </w:t>
      </w:r>
      <w:r w:rsidRPr="00E116B6" w:rsidR="00120D60">
        <w:rPr>
          <w:lang w:val="en-GB"/>
        </w:rPr>
        <w:t>28,000</w:t>
      </w:r>
      <w:r w:rsidRPr="00E116B6">
        <w:rPr>
          <w:lang w:val="en-GB"/>
        </w:rPr>
        <w:t xml:space="preserve"> (</w:t>
      </w:r>
      <w:r w:rsidRPr="00E116B6" w:rsidR="00120D60">
        <w:rPr>
          <w:lang w:val="en-GB"/>
        </w:rPr>
        <w:t>twenty-eight thousand</w:t>
      </w:r>
      <w:r w:rsidRPr="00E116B6">
        <w:rPr>
          <w:lang w:val="en-GB"/>
        </w:rPr>
        <w:t xml:space="preserve"> euros)</w:t>
      </w:r>
      <w:r w:rsidRPr="00E116B6" w:rsidR="00120D60">
        <w:rPr>
          <w:lang w:val="en-GB"/>
        </w:rPr>
        <w:t xml:space="preserve"> and EUR</w:t>
      </w:r>
      <w:r w:rsidRPr="00E116B6" w:rsidR="005B2247">
        <w:rPr>
          <w:lang w:val="en-GB"/>
        </w:rPr>
        <w:t> </w:t>
      </w:r>
      <w:r w:rsidRPr="00E116B6" w:rsidR="00120D60">
        <w:rPr>
          <w:lang w:val="en-GB"/>
        </w:rPr>
        <w:t>16,000</w:t>
      </w:r>
      <w:r w:rsidRPr="00E116B6" w:rsidR="0000400E">
        <w:rPr>
          <w:lang w:val="en-GB"/>
        </w:rPr>
        <w:t> </w:t>
      </w:r>
      <w:r w:rsidRPr="00E116B6" w:rsidR="00120D60">
        <w:rPr>
          <w:lang w:val="en-GB"/>
        </w:rPr>
        <w:t>(sixteen thousand euros) to the first and second applicants respectively</w:t>
      </w:r>
      <w:r w:rsidRPr="00E116B6">
        <w:rPr>
          <w:lang w:val="en-GB"/>
        </w:rPr>
        <w:t>, plus any tax that may be chargeable, in respect of non-pecuniary damage;</w:t>
      </w:r>
    </w:p>
    <w:p w:rsidRPr="00E116B6" w:rsidR="00014566" w:rsidP="00E116B6" w:rsidRDefault="00014566">
      <w:pPr>
        <w:pStyle w:val="JuListi"/>
        <w:rPr>
          <w:lang w:val="en-GB"/>
        </w:rPr>
      </w:pPr>
      <w:r w:rsidRPr="00E116B6">
        <w:rPr>
          <w:lang w:val="en-GB"/>
        </w:rPr>
        <w:t xml:space="preserve">(ii)  EUR </w:t>
      </w:r>
      <w:r w:rsidRPr="00E116B6" w:rsidR="00120D60">
        <w:rPr>
          <w:lang w:val="en-GB"/>
        </w:rPr>
        <w:t>4,800</w:t>
      </w:r>
      <w:r w:rsidRPr="00E116B6">
        <w:rPr>
          <w:lang w:val="en-GB"/>
        </w:rPr>
        <w:t xml:space="preserve"> (</w:t>
      </w:r>
      <w:r w:rsidRPr="00E116B6" w:rsidR="00120D60">
        <w:rPr>
          <w:lang w:val="en-GB"/>
        </w:rPr>
        <w:t>four thousand eight hundred</w:t>
      </w:r>
      <w:r w:rsidRPr="00E116B6">
        <w:rPr>
          <w:lang w:val="en-GB"/>
        </w:rPr>
        <w:t xml:space="preserve"> euros)</w:t>
      </w:r>
      <w:r w:rsidRPr="00E116B6" w:rsidR="00120D60">
        <w:rPr>
          <w:lang w:val="en-GB"/>
        </w:rPr>
        <w:t xml:space="preserve"> to the applicants jointly</w:t>
      </w:r>
      <w:r w:rsidRPr="00E116B6">
        <w:rPr>
          <w:lang w:val="en-GB"/>
        </w:rPr>
        <w:t>, plus any tax that may be chargeable to the</w:t>
      </w:r>
      <w:r w:rsidRPr="00E116B6" w:rsidR="00120D60">
        <w:rPr>
          <w:lang w:val="en-GB"/>
        </w:rPr>
        <w:t>m</w:t>
      </w:r>
      <w:r w:rsidRPr="00E116B6">
        <w:rPr>
          <w:lang w:val="en-GB"/>
        </w:rPr>
        <w:t>, in respect of costs and expenses;</w:t>
      </w:r>
    </w:p>
    <w:p w:rsidRPr="00E116B6" w:rsidR="00014566" w:rsidP="00E116B6" w:rsidRDefault="00014566">
      <w:pPr>
        <w:pStyle w:val="JuLista"/>
        <w:rPr>
          <w:lang w:val="en-GB"/>
        </w:rPr>
      </w:pPr>
      <w:r w:rsidRPr="00E116B6">
        <w:rPr>
          <w:lang w:val="en-GB"/>
        </w:rPr>
        <w:t xml:space="preserve">(b)  that from the expiry of the above-mentioned three months until settlement simple interest shall be payable </w:t>
      </w:r>
      <w:r w:rsidRPr="00E116B6" w:rsidR="006555F4">
        <w:rPr>
          <w:lang w:val="en-GB"/>
        </w:rPr>
        <w:t xml:space="preserve">on </w:t>
      </w:r>
      <w:r w:rsidRPr="00E116B6">
        <w:rPr>
          <w:lang w:val="en-GB"/>
        </w:rPr>
        <w:t>the above amounts at a rate equal to the marginal lending rate of the European Central Bank during the default period plus three percentage points;</w:t>
      </w:r>
    </w:p>
    <w:p w:rsidRPr="00E116B6" w:rsidR="00017CFF" w:rsidP="00E116B6" w:rsidRDefault="00017CFF">
      <w:pPr>
        <w:pStyle w:val="JuList"/>
        <w:rPr>
          <w:lang w:val="en-GB"/>
        </w:rPr>
      </w:pPr>
    </w:p>
    <w:p w:rsidRPr="00E116B6" w:rsidR="00014566" w:rsidP="00E116B6" w:rsidRDefault="00017CFF">
      <w:pPr>
        <w:pStyle w:val="JuList"/>
        <w:rPr>
          <w:lang w:val="en-GB"/>
        </w:rPr>
      </w:pPr>
      <w:r w:rsidRPr="00E116B6">
        <w:rPr>
          <w:lang w:val="en-GB"/>
        </w:rPr>
        <w:t>9</w:t>
      </w:r>
      <w:r w:rsidRPr="00E116B6" w:rsidR="00014566">
        <w:rPr>
          <w:lang w:val="en-GB"/>
        </w:rPr>
        <w:t>.  </w:t>
      </w:r>
      <w:r w:rsidRPr="00E116B6" w:rsidR="00014566">
        <w:rPr>
          <w:i/>
          <w:lang w:val="en-GB"/>
        </w:rPr>
        <w:t>Dismisses</w:t>
      </w:r>
      <w:r w:rsidRPr="00E116B6" w:rsidR="00570E7B">
        <w:rPr>
          <w:lang w:val="en-GB"/>
        </w:rPr>
        <w:t xml:space="preserve"> </w:t>
      </w:r>
      <w:r w:rsidRPr="00E116B6" w:rsidR="00014566">
        <w:rPr>
          <w:lang w:val="en-GB"/>
        </w:rPr>
        <w:t>the remainder of the applicant</w:t>
      </w:r>
      <w:r w:rsidRPr="00E116B6" w:rsidR="00570E7B">
        <w:rPr>
          <w:lang w:val="en-GB"/>
        </w:rPr>
        <w:t>s</w:t>
      </w:r>
      <w:r w:rsidRPr="00E116B6" w:rsidR="00E116B6">
        <w:rPr>
          <w:lang w:val="en-GB"/>
        </w:rPr>
        <w:t>’</w:t>
      </w:r>
      <w:r w:rsidRPr="00E116B6" w:rsidR="00014566">
        <w:rPr>
          <w:lang w:val="en-GB"/>
        </w:rPr>
        <w:t xml:space="preserve"> claim for just satisfaction.</w:t>
      </w:r>
    </w:p>
    <w:p w:rsidRPr="00E116B6" w:rsidR="00014566" w:rsidP="00E116B6" w:rsidRDefault="00014566">
      <w:pPr>
        <w:pStyle w:val="JuParaLast"/>
        <w:rPr>
          <w:lang w:val="en-GB"/>
        </w:rPr>
      </w:pPr>
      <w:r w:rsidRPr="00E116B6">
        <w:rPr>
          <w:lang w:val="en-GB"/>
        </w:rPr>
        <w:t xml:space="preserve">Done in English, and notified in writing </w:t>
      </w:r>
      <w:r w:rsidRPr="00E116B6" w:rsidR="006555F4">
        <w:rPr>
          <w:lang w:val="en-GB"/>
        </w:rPr>
        <w:t xml:space="preserve">on </w:t>
      </w:r>
      <w:r w:rsidRPr="00E116B6" w:rsidR="00A05C4D">
        <w:rPr>
          <w:lang w:val="en-GB"/>
        </w:rPr>
        <w:t>1 June 2017</w:t>
      </w:r>
      <w:r w:rsidRPr="00E116B6">
        <w:rPr>
          <w:lang w:val="en-GB"/>
        </w:rPr>
        <w:t>, pursuant to Rule</w:t>
      </w:r>
      <w:r w:rsidRPr="00E116B6" w:rsidR="00A05C4D">
        <w:rPr>
          <w:lang w:val="en-GB"/>
        </w:rPr>
        <w:t> </w:t>
      </w:r>
      <w:r w:rsidRPr="00E116B6">
        <w:rPr>
          <w:lang w:val="en-GB"/>
        </w:rPr>
        <w:t>77 §§ 2 and 3 of the Rules of Court.</w:t>
      </w:r>
    </w:p>
    <w:p w:rsidRPr="00E116B6" w:rsidR="00F0638B" w:rsidP="00E116B6" w:rsidRDefault="00F0638B">
      <w:pPr>
        <w:pStyle w:val="JuSigned"/>
        <w:rPr>
          <w:lang w:val="de-DE"/>
        </w:rPr>
      </w:pPr>
      <w:r w:rsidRPr="00E116B6">
        <w:rPr>
          <w:lang w:val="en-GB"/>
        </w:rPr>
        <w:tab/>
      </w:r>
      <w:r w:rsidRPr="00E116B6">
        <w:rPr>
          <w:lang w:val="de-DE"/>
        </w:rPr>
        <w:t>Milan Blaško</w:t>
      </w:r>
      <w:r w:rsidRPr="00E116B6">
        <w:rPr>
          <w:lang w:val="de-DE"/>
        </w:rPr>
        <w:tab/>
        <w:t>Angelika Nußberger</w:t>
      </w:r>
      <w:r w:rsidRPr="00E116B6">
        <w:rPr>
          <w:lang w:val="de-DE"/>
        </w:rPr>
        <w:br/>
      </w:r>
      <w:r w:rsidRPr="00E116B6">
        <w:rPr>
          <w:lang w:val="de-DE"/>
        </w:rPr>
        <w:tab/>
        <w:t>Deputy Registrar</w:t>
      </w:r>
      <w:r w:rsidRPr="00E116B6">
        <w:rPr>
          <w:lang w:val="de-DE"/>
        </w:rPr>
        <w:tab/>
        <w:t>President</w:t>
      </w:r>
    </w:p>
    <w:sectPr w:rsidRPr="00E116B6" w:rsidR="00F0638B" w:rsidSect="009E4A8B">
      <w:headerReference w:type="even" r:id="rId19"/>
      <w:headerReference w:type="default" r:id="rId20"/>
      <w:footnotePr>
        <w:numRestart w:val="eachSect"/>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5F4" w:rsidRPr="0032676F" w:rsidRDefault="006555F4" w:rsidP="00014566">
      <w:pPr>
        <w:rPr>
          <w:lang w:val="en-GB"/>
        </w:rPr>
      </w:pPr>
      <w:r w:rsidRPr="0032676F">
        <w:rPr>
          <w:lang w:val="en-GB"/>
        </w:rPr>
        <w:separator/>
      </w:r>
    </w:p>
  </w:endnote>
  <w:endnote w:type="continuationSeparator" w:id="0">
    <w:p w:rsidR="006555F4" w:rsidRPr="0032676F" w:rsidRDefault="006555F4" w:rsidP="00014566">
      <w:pPr>
        <w:rPr>
          <w:lang w:val="en-GB"/>
        </w:rPr>
      </w:pPr>
      <w:r w:rsidRPr="0032676F">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5F4" w:rsidRPr="00150BFA" w:rsidRDefault="006555F4" w:rsidP="009E4A8B">
    <w:pPr>
      <w:jc w:val="center"/>
    </w:pPr>
    <w:r>
      <w:rPr>
        <w:noProof/>
        <w:lang w:eastAsia="ja-JP"/>
      </w:rPr>
      <w:drawing>
        <wp:inline distT="0" distB="0" distL="0" distR="0" wp14:anchorId="0A2D8E3B" wp14:editId="10B62E79">
          <wp:extent cx="771525" cy="619125"/>
          <wp:effectExtent l="0" t="0" r="9525" b="9525"/>
          <wp:docPr id="45" name="Picture 45"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6555F4" w:rsidRDefault="006555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5F4" w:rsidRPr="0032676F" w:rsidRDefault="006555F4" w:rsidP="00014566">
      <w:pPr>
        <w:rPr>
          <w:lang w:val="en-GB"/>
        </w:rPr>
      </w:pPr>
      <w:r w:rsidRPr="0032676F">
        <w:rPr>
          <w:lang w:val="en-GB"/>
        </w:rPr>
        <w:separator/>
      </w:r>
    </w:p>
  </w:footnote>
  <w:footnote w:type="continuationSeparator" w:id="0">
    <w:p w:rsidR="006555F4" w:rsidRPr="0032676F" w:rsidRDefault="006555F4" w:rsidP="00014566">
      <w:pPr>
        <w:rPr>
          <w:lang w:val="en-GB"/>
        </w:rPr>
      </w:pPr>
      <w:r w:rsidRPr="0032676F">
        <w:rPr>
          <w:lang w:val="en-GB"/>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5F4" w:rsidRPr="0032676F" w:rsidRDefault="006555F4" w:rsidP="009E4A8B">
    <w:pPr>
      <w:pStyle w:val="ECHRHeader"/>
      <w:jc w:val="center"/>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5F4" w:rsidRPr="00A45145" w:rsidRDefault="006555F4" w:rsidP="009E4A8B">
    <w:pPr>
      <w:jc w:val="center"/>
    </w:pPr>
    <w:r>
      <w:rPr>
        <w:noProof/>
        <w:lang w:eastAsia="ja-JP"/>
      </w:rPr>
      <w:drawing>
        <wp:inline distT="0" distB="0" distL="0" distR="0" wp14:anchorId="671E46B9" wp14:editId="0F8C0878">
          <wp:extent cx="2962275" cy="1219200"/>
          <wp:effectExtent l="0" t="0" r="9525" b="0"/>
          <wp:docPr id="23" name="Picture 23"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6555F4" w:rsidRDefault="006555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5F4" w:rsidRPr="0032676F" w:rsidRDefault="006555F4" w:rsidP="00EE1DA9">
    <w:pPr>
      <w:pStyle w:val="ECHRHeader"/>
      <w:rPr>
        <w:lang w:val="en-GB"/>
      </w:rPr>
    </w:pPr>
    <w:r>
      <w:rPr>
        <w:rStyle w:val="PageNumber"/>
        <w:szCs w:val="18"/>
        <w:lang w:val="en-GB"/>
      </w:rPr>
      <w:fldChar w:fldCharType="begin"/>
    </w:r>
    <w:r>
      <w:rPr>
        <w:rStyle w:val="PageNumber"/>
        <w:szCs w:val="18"/>
        <w:lang w:val="en-GB"/>
      </w:rPr>
      <w:instrText xml:space="preserve"> PAGE </w:instrText>
    </w:r>
    <w:r>
      <w:rPr>
        <w:rStyle w:val="PageNumber"/>
        <w:szCs w:val="18"/>
        <w:lang w:val="en-GB"/>
      </w:rPr>
      <w:fldChar w:fldCharType="separate"/>
    </w:r>
    <w:r w:rsidR="00E116B6">
      <w:rPr>
        <w:rStyle w:val="PageNumber"/>
        <w:noProof/>
        <w:szCs w:val="18"/>
        <w:lang w:val="en-GB"/>
      </w:rPr>
      <w:t>34</w:t>
    </w:r>
    <w:r>
      <w:rPr>
        <w:rStyle w:val="PageNumber"/>
        <w:szCs w:val="18"/>
        <w:lang w:val="en-GB"/>
      </w:rPr>
      <w:fldChar w:fldCharType="end"/>
    </w:r>
    <w:r w:rsidRPr="0032676F">
      <w:rPr>
        <w:lang w:val="en-GB"/>
      </w:rPr>
      <w:tab/>
    </w:r>
    <w:r>
      <w:rPr>
        <w:lang w:val="en-GB"/>
      </w:rPr>
      <w:t>MINDADZE AND NEMSITSVERIDZE v. GEORGIA</w:t>
    </w:r>
    <w:r w:rsidRPr="0032676F">
      <w:rPr>
        <w:lang w:val="en-GB"/>
      </w:rPr>
      <w:t xml:space="preserve"> </w:t>
    </w:r>
    <w:r>
      <w:rPr>
        <w:lang w:val="en-GB"/>
      </w:rPr>
      <w:t>JUDGMENT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5F4" w:rsidRPr="0032676F" w:rsidRDefault="006555F4" w:rsidP="00D60D87">
    <w:pPr>
      <w:pStyle w:val="ECHRHeader"/>
      <w:rPr>
        <w:lang w:val="en-GB"/>
      </w:rPr>
    </w:pPr>
    <w:r w:rsidRPr="0032676F">
      <w:rPr>
        <w:lang w:val="en-GB"/>
      </w:rPr>
      <w:tab/>
    </w:r>
    <w:r>
      <w:rPr>
        <w:lang w:val="en-GB"/>
      </w:rPr>
      <w:t>MINDADZE AND NEMSITSVERIDZE v. GEORGIA</w:t>
    </w:r>
    <w:r w:rsidRPr="0032676F">
      <w:rPr>
        <w:lang w:val="en-GB"/>
      </w:rPr>
      <w:t xml:space="preserve"> </w:t>
    </w:r>
    <w:r>
      <w:rPr>
        <w:lang w:val="en-GB"/>
      </w:rPr>
      <w:t>JUDGMENT</w:t>
    </w:r>
    <w:r w:rsidRPr="0032676F">
      <w:rPr>
        <w:lang w:val="en-GB"/>
      </w:rPr>
      <w:tab/>
    </w:r>
    <w:r>
      <w:rPr>
        <w:rStyle w:val="PageNumber"/>
        <w:szCs w:val="18"/>
        <w:lang w:val="en-GB"/>
      </w:rPr>
      <w:fldChar w:fldCharType="begin"/>
    </w:r>
    <w:r>
      <w:rPr>
        <w:rStyle w:val="PageNumber"/>
        <w:szCs w:val="18"/>
        <w:lang w:val="en-GB"/>
      </w:rPr>
      <w:instrText xml:space="preserve"> PAGE </w:instrText>
    </w:r>
    <w:r>
      <w:rPr>
        <w:rStyle w:val="PageNumber"/>
        <w:szCs w:val="18"/>
        <w:lang w:val="en-GB"/>
      </w:rPr>
      <w:fldChar w:fldCharType="separate"/>
    </w:r>
    <w:r w:rsidR="00E116B6">
      <w:rPr>
        <w:rStyle w:val="PageNumber"/>
        <w:noProof/>
        <w:szCs w:val="18"/>
        <w:lang w:val="en-GB"/>
      </w:rPr>
      <w:t>35</w:t>
    </w:r>
    <w:r>
      <w:rPr>
        <w:rStyle w:val="PageNumber"/>
        <w:szCs w:val="18"/>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0180FE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90ECFB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5B8BEFC"/>
    <w:lvl w:ilvl="0">
      <w:start w:val="1"/>
      <w:numFmt w:val="decimal"/>
      <w:pStyle w:val="ListNumber3"/>
      <w:lvlText w:val="%1."/>
      <w:lvlJc w:val="left"/>
      <w:pPr>
        <w:tabs>
          <w:tab w:val="num" w:pos="926"/>
        </w:tabs>
        <w:ind w:left="926" w:hanging="360"/>
      </w:pPr>
    </w:lvl>
  </w:abstractNum>
  <w:abstractNum w:abstractNumId="3">
    <w:nsid w:val="FFFFFF7F"/>
    <w:multiLevelType w:val="singleLevel"/>
    <w:tmpl w:val="6F1CF73A"/>
    <w:lvl w:ilvl="0">
      <w:start w:val="1"/>
      <w:numFmt w:val="decimal"/>
      <w:pStyle w:val="ListNumber2"/>
      <w:lvlText w:val="%1."/>
      <w:lvlJc w:val="left"/>
      <w:pPr>
        <w:tabs>
          <w:tab w:val="num" w:pos="643"/>
        </w:tabs>
        <w:ind w:left="643" w:hanging="360"/>
      </w:pPr>
    </w:lvl>
  </w:abstractNum>
  <w:abstractNum w:abstractNumId="4">
    <w:nsid w:val="FFFFFF80"/>
    <w:multiLevelType w:val="singleLevel"/>
    <w:tmpl w:val="2380266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0C2C34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482EC3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666B2C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2760110"/>
    <w:lvl w:ilvl="0">
      <w:start w:val="1"/>
      <w:numFmt w:val="decimal"/>
      <w:pStyle w:val="ListNumber"/>
      <w:lvlText w:val="%1."/>
      <w:lvlJc w:val="left"/>
      <w:pPr>
        <w:tabs>
          <w:tab w:val="num" w:pos="360"/>
        </w:tabs>
        <w:ind w:left="360" w:hanging="360"/>
      </w:pPr>
    </w:lvl>
  </w:abstractNum>
  <w:abstractNum w:abstractNumId="9">
    <w:nsid w:val="0066004F"/>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63F153D"/>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2">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7737461D"/>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1"/>
  </w:num>
  <w:num w:numId="2">
    <w:abstractNumId w:val="10"/>
  </w:num>
  <w:num w:numId="3">
    <w:abstractNumId w:val="9"/>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NatAutre" w:val="0"/>
    <w:docVar w:name="DocVarPREMATURE" w:val="0"/>
    <w:docVar w:name="EMM" w:val="0"/>
    <w:docVar w:name="ETRANSMISSION" w:val="BY E-TRANSMISSION ONLY"/>
    <w:docVar w:name="L4_1Annex" w:val="0"/>
    <w:docVar w:name="L4_1Anonymity" w:val="0"/>
    <w:docVar w:name="NBEMMDOC" w:val="0"/>
    <w:docVar w:name="SignForeName" w:val="0"/>
  </w:docVars>
  <w:rsids>
    <w:rsidRoot w:val="00570E7B"/>
    <w:rsid w:val="000010ED"/>
    <w:rsid w:val="00001486"/>
    <w:rsid w:val="0000400E"/>
    <w:rsid w:val="000041F8"/>
    <w:rsid w:val="000042A8"/>
    <w:rsid w:val="00004308"/>
    <w:rsid w:val="000058FC"/>
    <w:rsid w:val="00005BF0"/>
    <w:rsid w:val="00007154"/>
    <w:rsid w:val="00007184"/>
    <w:rsid w:val="000103AE"/>
    <w:rsid w:val="00011B73"/>
    <w:rsid w:val="00011D69"/>
    <w:rsid w:val="00012AD3"/>
    <w:rsid w:val="00014566"/>
    <w:rsid w:val="00014839"/>
    <w:rsid w:val="00015C2D"/>
    <w:rsid w:val="00015F00"/>
    <w:rsid w:val="0001626C"/>
    <w:rsid w:val="000179BC"/>
    <w:rsid w:val="00017CFF"/>
    <w:rsid w:val="00022C1D"/>
    <w:rsid w:val="000270A8"/>
    <w:rsid w:val="000311CC"/>
    <w:rsid w:val="00034987"/>
    <w:rsid w:val="00035C4F"/>
    <w:rsid w:val="00035D3C"/>
    <w:rsid w:val="000423E3"/>
    <w:rsid w:val="00042E8E"/>
    <w:rsid w:val="00042F61"/>
    <w:rsid w:val="00043995"/>
    <w:rsid w:val="00043ACC"/>
    <w:rsid w:val="00047A3F"/>
    <w:rsid w:val="00053E79"/>
    <w:rsid w:val="000546DF"/>
    <w:rsid w:val="00055277"/>
    <w:rsid w:val="00055BAB"/>
    <w:rsid w:val="00056723"/>
    <w:rsid w:val="000602DF"/>
    <w:rsid w:val="00061175"/>
    <w:rsid w:val="00061B05"/>
    <w:rsid w:val="00062973"/>
    <w:rsid w:val="00062D5D"/>
    <w:rsid w:val="0006322C"/>
    <w:rsid w:val="000632D5"/>
    <w:rsid w:val="000644EE"/>
    <w:rsid w:val="00064BC2"/>
    <w:rsid w:val="00071ABC"/>
    <w:rsid w:val="000809BA"/>
    <w:rsid w:val="00082ED1"/>
    <w:rsid w:val="000856D7"/>
    <w:rsid w:val="00090731"/>
    <w:rsid w:val="000925AD"/>
    <w:rsid w:val="000A24EB"/>
    <w:rsid w:val="000A5083"/>
    <w:rsid w:val="000B0DD0"/>
    <w:rsid w:val="000B1255"/>
    <w:rsid w:val="000B4457"/>
    <w:rsid w:val="000B6121"/>
    <w:rsid w:val="000B6238"/>
    <w:rsid w:val="000B64D0"/>
    <w:rsid w:val="000B6923"/>
    <w:rsid w:val="000C033C"/>
    <w:rsid w:val="000C5F3C"/>
    <w:rsid w:val="000C6DCC"/>
    <w:rsid w:val="000D0AB5"/>
    <w:rsid w:val="000D22D4"/>
    <w:rsid w:val="000D47AA"/>
    <w:rsid w:val="000D5649"/>
    <w:rsid w:val="000D721F"/>
    <w:rsid w:val="000E069B"/>
    <w:rsid w:val="000E0E82"/>
    <w:rsid w:val="000E1DC5"/>
    <w:rsid w:val="000E223F"/>
    <w:rsid w:val="000E312B"/>
    <w:rsid w:val="000E35AC"/>
    <w:rsid w:val="000E6979"/>
    <w:rsid w:val="000E7D45"/>
    <w:rsid w:val="000F1078"/>
    <w:rsid w:val="000F43C7"/>
    <w:rsid w:val="000F73FF"/>
    <w:rsid w:val="000F7851"/>
    <w:rsid w:val="000F7E80"/>
    <w:rsid w:val="001029CF"/>
    <w:rsid w:val="00104783"/>
    <w:rsid w:val="00104E23"/>
    <w:rsid w:val="001072D6"/>
    <w:rsid w:val="00111B0C"/>
    <w:rsid w:val="00111B57"/>
    <w:rsid w:val="00114E41"/>
    <w:rsid w:val="001200FF"/>
    <w:rsid w:val="00120D60"/>
    <w:rsid w:val="00120D6C"/>
    <w:rsid w:val="0012570A"/>
    <w:rsid w:val="001257EC"/>
    <w:rsid w:val="00132C6A"/>
    <w:rsid w:val="00133D33"/>
    <w:rsid w:val="0013429F"/>
    <w:rsid w:val="00134D64"/>
    <w:rsid w:val="001356EB"/>
    <w:rsid w:val="00135A30"/>
    <w:rsid w:val="00135E16"/>
    <w:rsid w:val="0013612C"/>
    <w:rsid w:val="00137FF6"/>
    <w:rsid w:val="00141006"/>
    <w:rsid w:val="00141650"/>
    <w:rsid w:val="001425C7"/>
    <w:rsid w:val="00144F0E"/>
    <w:rsid w:val="00150FB5"/>
    <w:rsid w:val="00151CAD"/>
    <w:rsid w:val="00152E07"/>
    <w:rsid w:val="00162950"/>
    <w:rsid w:val="00162A12"/>
    <w:rsid w:val="00162B14"/>
    <w:rsid w:val="00164C8C"/>
    <w:rsid w:val="00166530"/>
    <w:rsid w:val="00174796"/>
    <w:rsid w:val="00181961"/>
    <w:rsid w:val="00182632"/>
    <w:rsid w:val="001832BD"/>
    <w:rsid w:val="001943B5"/>
    <w:rsid w:val="00195134"/>
    <w:rsid w:val="00195829"/>
    <w:rsid w:val="00195F9C"/>
    <w:rsid w:val="001A0454"/>
    <w:rsid w:val="001A145B"/>
    <w:rsid w:val="001A1DB8"/>
    <w:rsid w:val="001A4C80"/>
    <w:rsid w:val="001A66F4"/>
    <w:rsid w:val="001A674C"/>
    <w:rsid w:val="001B0C2E"/>
    <w:rsid w:val="001B1B8F"/>
    <w:rsid w:val="001B3B14"/>
    <w:rsid w:val="001B3B24"/>
    <w:rsid w:val="001B568E"/>
    <w:rsid w:val="001B7EC9"/>
    <w:rsid w:val="001C0F98"/>
    <w:rsid w:val="001C1417"/>
    <w:rsid w:val="001C2A42"/>
    <w:rsid w:val="001C790D"/>
    <w:rsid w:val="001D63ED"/>
    <w:rsid w:val="001D6EAB"/>
    <w:rsid w:val="001D7348"/>
    <w:rsid w:val="001D7645"/>
    <w:rsid w:val="001E035B"/>
    <w:rsid w:val="001E0961"/>
    <w:rsid w:val="001E1626"/>
    <w:rsid w:val="001E3EAE"/>
    <w:rsid w:val="001E5348"/>
    <w:rsid w:val="001E651D"/>
    <w:rsid w:val="001E6F32"/>
    <w:rsid w:val="001F2145"/>
    <w:rsid w:val="001F6262"/>
    <w:rsid w:val="001F67B0"/>
    <w:rsid w:val="001F67C1"/>
    <w:rsid w:val="001F7B3D"/>
    <w:rsid w:val="002002DC"/>
    <w:rsid w:val="00205F9F"/>
    <w:rsid w:val="00210338"/>
    <w:rsid w:val="002115FC"/>
    <w:rsid w:val="0021303E"/>
    <w:rsid w:val="002133F8"/>
    <w:rsid w:val="0021423C"/>
    <w:rsid w:val="00222C50"/>
    <w:rsid w:val="00222C98"/>
    <w:rsid w:val="00230D00"/>
    <w:rsid w:val="00231DF7"/>
    <w:rsid w:val="00231FD1"/>
    <w:rsid w:val="002339E0"/>
    <w:rsid w:val="00233CF8"/>
    <w:rsid w:val="0023575D"/>
    <w:rsid w:val="00237148"/>
    <w:rsid w:val="00240368"/>
    <w:rsid w:val="0024222D"/>
    <w:rsid w:val="0024315E"/>
    <w:rsid w:val="00244B0E"/>
    <w:rsid w:val="00244F6C"/>
    <w:rsid w:val="002530CA"/>
    <w:rsid w:val="002532C5"/>
    <w:rsid w:val="002563B2"/>
    <w:rsid w:val="00260C03"/>
    <w:rsid w:val="00261159"/>
    <w:rsid w:val="002613BB"/>
    <w:rsid w:val="00262734"/>
    <w:rsid w:val="00263656"/>
    <w:rsid w:val="0026540E"/>
    <w:rsid w:val="00270FF8"/>
    <w:rsid w:val="0027225C"/>
    <w:rsid w:val="00275123"/>
    <w:rsid w:val="00275B76"/>
    <w:rsid w:val="00280F6A"/>
    <w:rsid w:val="00282240"/>
    <w:rsid w:val="00282805"/>
    <w:rsid w:val="0028572A"/>
    <w:rsid w:val="00286755"/>
    <w:rsid w:val="002948AD"/>
    <w:rsid w:val="00294C05"/>
    <w:rsid w:val="00294C92"/>
    <w:rsid w:val="002A01CC"/>
    <w:rsid w:val="002A34AA"/>
    <w:rsid w:val="002A61B1"/>
    <w:rsid w:val="002A663C"/>
    <w:rsid w:val="002A6748"/>
    <w:rsid w:val="002B12FA"/>
    <w:rsid w:val="002B1E6C"/>
    <w:rsid w:val="002B29F5"/>
    <w:rsid w:val="002B444B"/>
    <w:rsid w:val="002B472F"/>
    <w:rsid w:val="002B5887"/>
    <w:rsid w:val="002B6830"/>
    <w:rsid w:val="002C0692"/>
    <w:rsid w:val="002C0E27"/>
    <w:rsid w:val="002C2368"/>
    <w:rsid w:val="002C3040"/>
    <w:rsid w:val="002D022D"/>
    <w:rsid w:val="002D0437"/>
    <w:rsid w:val="002D16A7"/>
    <w:rsid w:val="002D24BB"/>
    <w:rsid w:val="002D401F"/>
    <w:rsid w:val="002D546F"/>
    <w:rsid w:val="002E009C"/>
    <w:rsid w:val="002E0869"/>
    <w:rsid w:val="002E13B5"/>
    <w:rsid w:val="002E2E96"/>
    <w:rsid w:val="002F2AF7"/>
    <w:rsid w:val="002F4380"/>
    <w:rsid w:val="002F5A5D"/>
    <w:rsid w:val="002F7E1C"/>
    <w:rsid w:val="00301A75"/>
    <w:rsid w:val="00302F70"/>
    <w:rsid w:val="0030336F"/>
    <w:rsid w:val="003033F0"/>
    <w:rsid w:val="0030375E"/>
    <w:rsid w:val="00304D99"/>
    <w:rsid w:val="00312A30"/>
    <w:rsid w:val="00312FB4"/>
    <w:rsid w:val="00320900"/>
    <w:rsid w:val="00320F72"/>
    <w:rsid w:val="0032463E"/>
    <w:rsid w:val="00326224"/>
    <w:rsid w:val="0032657E"/>
    <w:rsid w:val="0032676F"/>
    <w:rsid w:val="00331222"/>
    <w:rsid w:val="00335E1C"/>
    <w:rsid w:val="00337EE4"/>
    <w:rsid w:val="00340FFD"/>
    <w:rsid w:val="00344E44"/>
    <w:rsid w:val="003506B1"/>
    <w:rsid w:val="00356AC7"/>
    <w:rsid w:val="00357DB0"/>
    <w:rsid w:val="003601F0"/>
    <w:rsid w:val="003609FA"/>
    <w:rsid w:val="00360F75"/>
    <w:rsid w:val="00367189"/>
    <w:rsid w:val="003710C8"/>
    <w:rsid w:val="003720F1"/>
    <w:rsid w:val="003750BE"/>
    <w:rsid w:val="003864A3"/>
    <w:rsid w:val="00386C88"/>
    <w:rsid w:val="00387B3C"/>
    <w:rsid w:val="00387B9D"/>
    <w:rsid w:val="00390BB5"/>
    <w:rsid w:val="003914A9"/>
    <w:rsid w:val="0039364F"/>
    <w:rsid w:val="00396686"/>
    <w:rsid w:val="00396956"/>
    <w:rsid w:val="0039778E"/>
    <w:rsid w:val="003A6870"/>
    <w:rsid w:val="003B1555"/>
    <w:rsid w:val="003B3277"/>
    <w:rsid w:val="003B4941"/>
    <w:rsid w:val="003C5714"/>
    <w:rsid w:val="003C6B9F"/>
    <w:rsid w:val="003C6E2A"/>
    <w:rsid w:val="003D0299"/>
    <w:rsid w:val="003D402D"/>
    <w:rsid w:val="003E02C0"/>
    <w:rsid w:val="003E6D80"/>
    <w:rsid w:val="003F05FA"/>
    <w:rsid w:val="003F244A"/>
    <w:rsid w:val="003F30B8"/>
    <w:rsid w:val="003F4C45"/>
    <w:rsid w:val="003F5E73"/>
    <w:rsid w:val="003F5F7B"/>
    <w:rsid w:val="003F7D64"/>
    <w:rsid w:val="0040369A"/>
    <w:rsid w:val="00405D60"/>
    <w:rsid w:val="00406014"/>
    <w:rsid w:val="00414300"/>
    <w:rsid w:val="00415610"/>
    <w:rsid w:val="00415E26"/>
    <w:rsid w:val="00417643"/>
    <w:rsid w:val="00421063"/>
    <w:rsid w:val="00425C67"/>
    <w:rsid w:val="004273CE"/>
    <w:rsid w:val="00427E7A"/>
    <w:rsid w:val="00436307"/>
    <w:rsid w:val="00436C49"/>
    <w:rsid w:val="00442228"/>
    <w:rsid w:val="00443921"/>
    <w:rsid w:val="00443DB1"/>
    <w:rsid w:val="00445366"/>
    <w:rsid w:val="00447F5B"/>
    <w:rsid w:val="00455F79"/>
    <w:rsid w:val="004613E6"/>
    <w:rsid w:val="00461DB0"/>
    <w:rsid w:val="00462D2C"/>
    <w:rsid w:val="00462F96"/>
    <w:rsid w:val="00463926"/>
    <w:rsid w:val="004646E0"/>
    <w:rsid w:val="00464C9A"/>
    <w:rsid w:val="0046550C"/>
    <w:rsid w:val="00471C05"/>
    <w:rsid w:val="004725A6"/>
    <w:rsid w:val="00474F3D"/>
    <w:rsid w:val="00477E3A"/>
    <w:rsid w:val="00480ACE"/>
    <w:rsid w:val="00483E5F"/>
    <w:rsid w:val="00485FF9"/>
    <w:rsid w:val="004907F0"/>
    <w:rsid w:val="0049140B"/>
    <w:rsid w:val="004923A5"/>
    <w:rsid w:val="00492B2C"/>
    <w:rsid w:val="00494DB4"/>
    <w:rsid w:val="00496BFB"/>
    <w:rsid w:val="004A15C7"/>
    <w:rsid w:val="004A4A9B"/>
    <w:rsid w:val="004A67BE"/>
    <w:rsid w:val="004B00C7"/>
    <w:rsid w:val="004B013B"/>
    <w:rsid w:val="004B112B"/>
    <w:rsid w:val="004B2BC9"/>
    <w:rsid w:val="004B4BD7"/>
    <w:rsid w:val="004B7248"/>
    <w:rsid w:val="004C01E4"/>
    <w:rsid w:val="004C086C"/>
    <w:rsid w:val="004C1F56"/>
    <w:rsid w:val="004C27BC"/>
    <w:rsid w:val="004C400E"/>
    <w:rsid w:val="004C4CF3"/>
    <w:rsid w:val="004D062F"/>
    <w:rsid w:val="004D15F3"/>
    <w:rsid w:val="004D5311"/>
    <w:rsid w:val="004D5DCC"/>
    <w:rsid w:val="004E129C"/>
    <w:rsid w:val="004E2A82"/>
    <w:rsid w:val="004E59F6"/>
    <w:rsid w:val="004F10AF"/>
    <w:rsid w:val="004F11A4"/>
    <w:rsid w:val="004F2389"/>
    <w:rsid w:val="004F304D"/>
    <w:rsid w:val="004F3D2F"/>
    <w:rsid w:val="004F61BE"/>
    <w:rsid w:val="004F66B1"/>
    <w:rsid w:val="00501845"/>
    <w:rsid w:val="00505226"/>
    <w:rsid w:val="00511C07"/>
    <w:rsid w:val="00514DB2"/>
    <w:rsid w:val="0051541E"/>
    <w:rsid w:val="005173A6"/>
    <w:rsid w:val="00520BAA"/>
    <w:rsid w:val="00523F00"/>
    <w:rsid w:val="00525208"/>
    <w:rsid w:val="005257A5"/>
    <w:rsid w:val="005259DA"/>
    <w:rsid w:val="005264C0"/>
    <w:rsid w:val="00526A8A"/>
    <w:rsid w:val="00531DF2"/>
    <w:rsid w:val="00536E8F"/>
    <w:rsid w:val="005442EE"/>
    <w:rsid w:val="00545170"/>
    <w:rsid w:val="00547353"/>
    <w:rsid w:val="005474E7"/>
    <w:rsid w:val="00550F0E"/>
    <w:rsid w:val="005512A3"/>
    <w:rsid w:val="00551BFB"/>
    <w:rsid w:val="005578CE"/>
    <w:rsid w:val="00562781"/>
    <w:rsid w:val="00563E83"/>
    <w:rsid w:val="00564F0E"/>
    <w:rsid w:val="00570824"/>
    <w:rsid w:val="00570E7B"/>
    <w:rsid w:val="0057271C"/>
    <w:rsid w:val="00572845"/>
    <w:rsid w:val="00573D73"/>
    <w:rsid w:val="00573FBE"/>
    <w:rsid w:val="00576B28"/>
    <w:rsid w:val="005775EE"/>
    <w:rsid w:val="00580CD9"/>
    <w:rsid w:val="0058134C"/>
    <w:rsid w:val="00581DB1"/>
    <w:rsid w:val="005838FE"/>
    <w:rsid w:val="005859F8"/>
    <w:rsid w:val="0059108E"/>
    <w:rsid w:val="00591677"/>
    <w:rsid w:val="00592772"/>
    <w:rsid w:val="0059574A"/>
    <w:rsid w:val="00596D99"/>
    <w:rsid w:val="005A14AE"/>
    <w:rsid w:val="005A1B9B"/>
    <w:rsid w:val="005A45AC"/>
    <w:rsid w:val="005A6751"/>
    <w:rsid w:val="005B092E"/>
    <w:rsid w:val="005B0AC0"/>
    <w:rsid w:val="005B152C"/>
    <w:rsid w:val="005B1EE0"/>
    <w:rsid w:val="005B2247"/>
    <w:rsid w:val="005B2505"/>
    <w:rsid w:val="005B2B24"/>
    <w:rsid w:val="005B4425"/>
    <w:rsid w:val="005B4B94"/>
    <w:rsid w:val="005B4F69"/>
    <w:rsid w:val="005B621F"/>
    <w:rsid w:val="005C3EE8"/>
    <w:rsid w:val="005D0A13"/>
    <w:rsid w:val="005D1023"/>
    <w:rsid w:val="005D34F9"/>
    <w:rsid w:val="005D4190"/>
    <w:rsid w:val="005D67A3"/>
    <w:rsid w:val="005D71DE"/>
    <w:rsid w:val="005D747C"/>
    <w:rsid w:val="005E0E48"/>
    <w:rsid w:val="005E2988"/>
    <w:rsid w:val="005E2A43"/>
    <w:rsid w:val="005E3085"/>
    <w:rsid w:val="005E438A"/>
    <w:rsid w:val="005E621D"/>
    <w:rsid w:val="005F25D2"/>
    <w:rsid w:val="005F447E"/>
    <w:rsid w:val="005F51E1"/>
    <w:rsid w:val="00601492"/>
    <w:rsid w:val="00601D33"/>
    <w:rsid w:val="00602719"/>
    <w:rsid w:val="00602A37"/>
    <w:rsid w:val="00603C16"/>
    <w:rsid w:val="0060652C"/>
    <w:rsid w:val="00607FDA"/>
    <w:rsid w:val="00610493"/>
    <w:rsid w:val="00611C80"/>
    <w:rsid w:val="00612A6B"/>
    <w:rsid w:val="00620692"/>
    <w:rsid w:val="006242CA"/>
    <w:rsid w:val="00627507"/>
    <w:rsid w:val="00633717"/>
    <w:rsid w:val="006344E1"/>
    <w:rsid w:val="006412FF"/>
    <w:rsid w:val="00642BB2"/>
    <w:rsid w:val="00647FA7"/>
    <w:rsid w:val="00651293"/>
    <w:rsid w:val="00652E1E"/>
    <w:rsid w:val="006545C4"/>
    <w:rsid w:val="006555F4"/>
    <w:rsid w:val="00655E92"/>
    <w:rsid w:val="00661971"/>
    <w:rsid w:val="00661CE8"/>
    <w:rsid w:val="006623D9"/>
    <w:rsid w:val="0066550C"/>
    <w:rsid w:val="00665943"/>
    <w:rsid w:val="006716F2"/>
    <w:rsid w:val="00671F5F"/>
    <w:rsid w:val="006721A6"/>
    <w:rsid w:val="00673D65"/>
    <w:rsid w:val="0067636A"/>
    <w:rsid w:val="00676C2B"/>
    <w:rsid w:val="00682BF2"/>
    <w:rsid w:val="006859CE"/>
    <w:rsid w:val="00691270"/>
    <w:rsid w:val="00692A09"/>
    <w:rsid w:val="00694BA8"/>
    <w:rsid w:val="00696734"/>
    <w:rsid w:val="00697604"/>
    <w:rsid w:val="006A037C"/>
    <w:rsid w:val="006A052F"/>
    <w:rsid w:val="006A36F4"/>
    <w:rsid w:val="006A3D74"/>
    <w:rsid w:val="006A406F"/>
    <w:rsid w:val="006A5D3A"/>
    <w:rsid w:val="006B2049"/>
    <w:rsid w:val="006B3AE1"/>
    <w:rsid w:val="006B69D5"/>
    <w:rsid w:val="006C210A"/>
    <w:rsid w:val="006C23D4"/>
    <w:rsid w:val="006C32B0"/>
    <w:rsid w:val="006C43B2"/>
    <w:rsid w:val="006C7BB0"/>
    <w:rsid w:val="006D3237"/>
    <w:rsid w:val="006D7FFB"/>
    <w:rsid w:val="006E2E37"/>
    <w:rsid w:val="006E3CF1"/>
    <w:rsid w:val="006E46ED"/>
    <w:rsid w:val="006E7E80"/>
    <w:rsid w:val="006F1DF9"/>
    <w:rsid w:val="006F24DB"/>
    <w:rsid w:val="006F2D60"/>
    <w:rsid w:val="006F3799"/>
    <w:rsid w:val="006F48CA"/>
    <w:rsid w:val="006F4E2B"/>
    <w:rsid w:val="006F5A49"/>
    <w:rsid w:val="006F64DD"/>
    <w:rsid w:val="006F6A34"/>
    <w:rsid w:val="006F736C"/>
    <w:rsid w:val="00703E97"/>
    <w:rsid w:val="007054A7"/>
    <w:rsid w:val="00705939"/>
    <w:rsid w:val="00707522"/>
    <w:rsid w:val="007104DB"/>
    <w:rsid w:val="007132AA"/>
    <w:rsid w:val="007148F4"/>
    <w:rsid w:val="00715127"/>
    <w:rsid w:val="00715C23"/>
    <w:rsid w:val="00715E8E"/>
    <w:rsid w:val="007161B2"/>
    <w:rsid w:val="00717B4F"/>
    <w:rsid w:val="007216E6"/>
    <w:rsid w:val="00723580"/>
    <w:rsid w:val="00723755"/>
    <w:rsid w:val="00730E75"/>
    <w:rsid w:val="0073136C"/>
    <w:rsid w:val="00731F0F"/>
    <w:rsid w:val="00732C41"/>
    <w:rsid w:val="00733250"/>
    <w:rsid w:val="0073558C"/>
    <w:rsid w:val="00737663"/>
    <w:rsid w:val="00741404"/>
    <w:rsid w:val="007449E5"/>
    <w:rsid w:val="0074526A"/>
    <w:rsid w:val="00745E63"/>
    <w:rsid w:val="00746C5A"/>
    <w:rsid w:val="00747BCA"/>
    <w:rsid w:val="00747FF0"/>
    <w:rsid w:val="00756975"/>
    <w:rsid w:val="00764D4E"/>
    <w:rsid w:val="00765A1F"/>
    <w:rsid w:val="00767D7A"/>
    <w:rsid w:val="00775B6D"/>
    <w:rsid w:val="00776D24"/>
    <w:rsid w:val="00776D68"/>
    <w:rsid w:val="0078201E"/>
    <w:rsid w:val="00782996"/>
    <w:rsid w:val="007850EE"/>
    <w:rsid w:val="007859DC"/>
    <w:rsid w:val="00785B95"/>
    <w:rsid w:val="00790E96"/>
    <w:rsid w:val="00793366"/>
    <w:rsid w:val="00794F6F"/>
    <w:rsid w:val="007A34FB"/>
    <w:rsid w:val="007A580F"/>
    <w:rsid w:val="007A680A"/>
    <w:rsid w:val="007A716F"/>
    <w:rsid w:val="007A7BEA"/>
    <w:rsid w:val="007B04C9"/>
    <w:rsid w:val="007B270A"/>
    <w:rsid w:val="007C0695"/>
    <w:rsid w:val="007C419A"/>
    <w:rsid w:val="007C4CC8"/>
    <w:rsid w:val="007C5426"/>
    <w:rsid w:val="007C5798"/>
    <w:rsid w:val="007C6CDF"/>
    <w:rsid w:val="007D13F6"/>
    <w:rsid w:val="007D164D"/>
    <w:rsid w:val="007D4054"/>
    <w:rsid w:val="007D4832"/>
    <w:rsid w:val="007D72A0"/>
    <w:rsid w:val="007D7E8C"/>
    <w:rsid w:val="007E21B2"/>
    <w:rsid w:val="007E2C4E"/>
    <w:rsid w:val="007E3C98"/>
    <w:rsid w:val="007F02CE"/>
    <w:rsid w:val="007F1905"/>
    <w:rsid w:val="007F47A3"/>
    <w:rsid w:val="007F58C0"/>
    <w:rsid w:val="007F65A0"/>
    <w:rsid w:val="00801300"/>
    <w:rsid w:val="00802C64"/>
    <w:rsid w:val="00804FCB"/>
    <w:rsid w:val="00805E52"/>
    <w:rsid w:val="0080611C"/>
    <w:rsid w:val="008061D0"/>
    <w:rsid w:val="00810B38"/>
    <w:rsid w:val="00812EE1"/>
    <w:rsid w:val="008204C7"/>
    <w:rsid w:val="00820992"/>
    <w:rsid w:val="00823602"/>
    <w:rsid w:val="008255F5"/>
    <w:rsid w:val="0083014E"/>
    <w:rsid w:val="00830DA3"/>
    <w:rsid w:val="0083214A"/>
    <w:rsid w:val="00834220"/>
    <w:rsid w:val="008350A4"/>
    <w:rsid w:val="00835C5F"/>
    <w:rsid w:val="00837AF6"/>
    <w:rsid w:val="00841F19"/>
    <w:rsid w:val="00844676"/>
    <w:rsid w:val="00845723"/>
    <w:rsid w:val="00851EF9"/>
    <w:rsid w:val="008577FD"/>
    <w:rsid w:val="00860B03"/>
    <w:rsid w:val="00861BED"/>
    <w:rsid w:val="008622E3"/>
    <w:rsid w:val="0086497A"/>
    <w:rsid w:val="00866CD1"/>
    <w:rsid w:val="0086767F"/>
    <w:rsid w:val="008713A1"/>
    <w:rsid w:val="008754AB"/>
    <w:rsid w:val="0088006F"/>
    <w:rsid w:val="0088060C"/>
    <w:rsid w:val="008822BF"/>
    <w:rsid w:val="00885B41"/>
    <w:rsid w:val="00893576"/>
    <w:rsid w:val="00893E73"/>
    <w:rsid w:val="0089681D"/>
    <w:rsid w:val="008A43C4"/>
    <w:rsid w:val="008A6698"/>
    <w:rsid w:val="008A7EF0"/>
    <w:rsid w:val="008B02DC"/>
    <w:rsid w:val="008B127D"/>
    <w:rsid w:val="008B57CE"/>
    <w:rsid w:val="008B659F"/>
    <w:rsid w:val="008C26DE"/>
    <w:rsid w:val="008C6B56"/>
    <w:rsid w:val="008D0DD8"/>
    <w:rsid w:val="008D0FA4"/>
    <w:rsid w:val="008D1F87"/>
    <w:rsid w:val="008D2225"/>
    <w:rsid w:val="008D4752"/>
    <w:rsid w:val="008D552A"/>
    <w:rsid w:val="008E0019"/>
    <w:rsid w:val="008E271C"/>
    <w:rsid w:val="008E384A"/>
    <w:rsid w:val="008E418E"/>
    <w:rsid w:val="008E5BC6"/>
    <w:rsid w:val="008E637F"/>
    <w:rsid w:val="008E6A25"/>
    <w:rsid w:val="008F5193"/>
    <w:rsid w:val="009013A7"/>
    <w:rsid w:val="009017FB"/>
    <w:rsid w:val="009017FC"/>
    <w:rsid w:val="00903B43"/>
    <w:rsid w:val="0090506B"/>
    <w:rsid w:val="009050C9"/>
    <w:rsid w:val="00905F49"/>
    <w:rsid w:val="009066FC"/>
    <w:rsid w:val="0090796B"/>
    <w:rsid w:val="00910A60"/>
    <w:rsid w:val="009140A3"/>
    <w:rsid w:val="009144A2"/>
    <w:rsid w:val="0091510C"/>
    <w:rsid w:val="009164C3"/>
    <w:rsid w:val="00924E1B"/>
    <w:rsid w:val="009259AC"/>
    <w:rsid w:val="00926F38"/>
    <w:rsid w:val="0093025B"/>
    <w:rsid w:val="009322C1"/>
    <w:rsid w:val="00934301"/>
    <w:rsid w:val="00935890"/>
    <w:rsid w:val="00936898"/>
    <w:rsid w:val="00936CD1"/>
    <w:rsid w:val="00941747"/>
    <w:rsid w:val="00941EFB"/>
    <w:rsid w:val="009468A0"/>
    <w:rsid w:val="00947AFB"/>
    <w:rsid w:val="00951D7D"/>
    <w:rsid w:val="00952C12"/>
    <w:rsid w:val="009630C7"/>
    <w:rsid w:val="00972B55"/>
    <w:rsid w:val="009743B7"/>
    <w:rsid w:val="00975346"/>
    <w:rsid w:val="00977E73"/>
    <w:rsid w:val="00980850"/>
    <w:rsid w:val="0098118B"/>
    <w:rsid w:val="0098181B"/>
    <w:rsid w:val="0098228B"/>
    <w:rsid w:val="009828DA"/>
    <w:rsid w:val="00982C25"/>
    <w:rsid w:val="00984E0C"/>
    <w:rsid w:val="00985BAB"/>
    <w:rsid w:val="00986D5C"/>
    <w:rsid w:val="00995ECC"/>
    <w:rsid w:val="00997F03"/>
    <w:rsid w:val="009A46DF"/>
    <w:rsid w:val="009A79F0"/>
    <w:rsid w:val="009B0498"/>
    <w:rsid w:val="009B1B5F"/>
    <w:rsid w:val="009B1FE0"/>
    <w:rsid w:val="009B2EC2"/>
    <w:rsid w:val="009B6673"/>
    <w:rsid w:val="009C191B"/>
    <w:rsid w:val="009C1D91"/>
    <w:rsid w:val="009C2BD6"/>
    <w:rsid w:val="009C4363"/>
    <w:rsid w:val="009C49FA"/>
    <w:rsid w:val="009C5BA1"/>
    <w:rsid w:val="009C67FA"/>
    <w:rsid w:val="009C7726"/>
    <w:rsid w:val="009D7AC5"/>
    <w:rsid w:val="009E1F32"/>
    <w:rsid w:val="009E37B6"/>
    <w:rsid w:val="009E4A8B"/>
    <w:rsid w:val="009E5829"/>
    <w:rsid w:val="009E776C"/>
    <w:rsid w:val="009E7D0D"/>
    <w:rsid w:val="009F0DE4"/>
    <w:rsid w:val="009F2755"/>
    <w:rsid w:val="009F5F35"/>
    <w:rsid w:val="00A014DA"/>
    <w:rsid w:val="00A023DC"/>
    <w:rsid w:val="00A05C4D"/>
    <w:rsid w:val="00A05F29"/>
    <w:rsid w:val="00A07CD2"/>
    <w:rsid w:val="00A115CC"/>
    <w:rsid w:val="00A16722"/>
    <w:rsid w:val="00A1726E"/>
    <w:rsid w:val="00A204CF"/>
    <w:rsid w:val="00A23D49"/>
    <w:rsid w:val="00A23EEF"/>
    <w:rsid w:val="00A27004"/>
    <w:rsid w:val="00A30C29"/>
    <w:rsid w:val="00A328D5"/>
    <w:rsid w:val="00A33A52"/>
    <w:rsid w:val="00A34906"/>
    <w:rsid w:val="00A34DD6"/>
    <w:rsid w:val="00A36819"/>
    <w:rsid w:val="00A36989"/>
    <w:rsid w:val="00A43628"/>
    <w:rsid w:val="00A52788"/>
    <w:rsid w:val="00A54192"/>
    <w:rsid w:val="00A573EB"/>
    <w:rsid w:val="00A6035E"/>
    <w:rsid w:val="00A6144C"/>
    <w:rsid w:val="00A66617"/>
    <w:rsid w:val="00A671F8"/>
    <w:rsid w:val="00A673A4"/>
    <w:rsid w:val="00A71C9C"/>
    <w:rsid w:val="00A72202"/>
    <w:rsid w:val="00A724AE"/>
    <w:rsid w:val="00A73329"/>
    <w:rsid w:val="00A75C44"/>
    <w:rsid w:val="00A811D9"/>
    <w:rsid w:val="00A8125B"/>
    <w:rsid w:val="00A820B6"/>
    <w:rsid w:val="00A82359"/>
    <w:rsid w:val="00A86575"/>
    <w:rsid w:val="00A865D2"/>
    <w:rsid w:val="00A94C20"/>
    <w:rsid w:val="00A96354"/>
    <w:rsid w:val="00A96ED6"/>
    <w:rsid w:val="00AA00EF"/>
    <w:rsid w:val="00AA2154"/>
    <w:rsid w:val="00AA227F"/>
    <w:rsid w:val="00AA2659"/>
    <w:rsid w:val="00AA3BC7"/>
    <w:rsid w:val="00AA5C09"/>
    <w:rsid w:val="00AA754A"/>
    <w:rsid w:val="00AA78B0"/>
    <w:rsid w:val="00AB099E"/>
    <w:rsid w:val="00AB352F"/>
    <w:rsid w:val="00AB4328"/>
    <w:rsid w:val="00AB5FA0"/>
    <w:rsid w:val="00AC1180"/>
    <w:rsid w:val="00AC3158"/>
    <w:rsid w:val="00AC3EA3"/>
    <w:rsid w:val="00AC44B4"/>
    <w:rsid w:val="00AD09B2"/>
    <w:rsid w:val="00AD2FE7"/>
    <w:rsid w:val="00AD5ABE"/>
    <w:rsid w:val="00AE0A2E"/>
    <w:rsid w:val="00AE1003"/>
    <w:rsid w:val="00AE354C"/>
    <w:rsid w:val="00AF2FB1"/>
    <w:rsid w:val="00AF4B07"/>
    <w:rsid w:val="00AF6186"/>
    <w:rsid w:val="00AF7A3A"/>
    <w:rsid w:val="00AF7DE5"/>
    <w:rsid w:val="00B00C6C"/>
    <w:rsid w:val="00B00CAA"/>
    <w:rsid w:val="00B0785A"/>
    <w:rsid w:val="00B160DB"/>
    <w:rsid w:val="00B16407"/>
    <w:rsid w:val="00B20836"/>
    <w:rsid w:val="00B235BB"/>
    <w:rsid w:val="00B27A44"/>
    <w:rsid w:val="00B30BBF"/>
    <w:rsid w:val="00B322BC"/>
    <w:rsid w:val="00B33C03"/>
    <w:rsid w:val="00B36B9D"/>
    <w:rsid w:val="00B370DE"/>
    <w:rsid w:val="00B41119"/>
    <w:rsid w:val="00B41633"/>
    <w:rsid w:val="00B4466A"/>
    <w:rsid w:val="00B44E56"/>
    <w:rsid w:val="00B44E69"/>
    <w:rsid w:val="00B46543"/>
    <w:rsid w:val="00B47D33"/>
    <w:rsid w:val="00B52BE0"/>
    <w:rsid w:val="00B54133"/>
    <w:rsid w:val="00B55648"/>
    <w:rsid w:val="00B60192"/>
    <w:rsid w:val="00B62681"/>
    <w:rsid w:val="00B637B9"/>
    <w:rsid w:val="00B63C7F"/>
    <w:rsid w:val="00B70114"/>
    <w:rsid w:val="00B701ED"/>
    <w:rsid w:val="00B8086C"/>
    <w:rsid w:val="00B861B4"/>
    <w:rsid w:val="00B86DFE"/>
    <w:rsid w:val="00B90990"/>
    <w:rsid w:val="00B922FF"/>
    <w:rsid w:val="00B9281E"/>
    <w:rsid w:val="00B9373F"/>
    <w:rsid w:val="00B93925"/>
    <w:rsid w:val="00B95187"/>
    <w:rsid w:val="00B96A76"/>
    <w:rsid w:val="00B97413"/>
    <w:rsid w:val="00BA2D55"/>
    <w:rsid w:val="00BA71B1"/>
    <w:rsid w:val="00BB0637"/>
    <w:rsid w:val="00BB345F"/>
    <w:rsid w:val="00BB5536"/>
    <w:rsid w:val="00BB5883"/>
    <w:rsid w:val="00BB68EA"/>
    <w:rsid w:val="00BB7774"/>
    <w:rsid w:val="00BC0FE0"/>
    <w:rsid w:val="00BC15FF"/>
    <w:rsid w:val="00BC1C27"/>
    <w:rsid w:val="00BC5822"/>
    <w:rsid w:val="00BC5B3C"/>
    <w:rsid w:val="00BC65EB"/>
    <w:rsid w:val="00BC6BBF"/>
    <w:rsid w:val="00BC744A"/>
    <w:rsid w:val="00BD03AB"/>
    <w:rsid w:val="00BD1572"/>
    <w:rsid w:val="00BD18FE"/>
    <w:rsid w:val="00BD368A"/>
    <w:rsid w:val="00BD48E4"/>
    <w:rsid w:val="00BD58B1"/>
    <w:rsid w:val="00BE14E3"/>
    <w:rsid w:val="00BE3774"/>
    <w:rsid w:val="00BE3A7C"/>
    <w:rsid w:val="00BE41E5"/>
    <w:rsid w:val="00BF08C5"/>
    <w:rsid w:val="00BF0BBB"/>
    <w:rsid w:val="00BF3C5E"/>
    <w:rsid w:val="00BF3FEF"/>
    <w:rsid w:val="00BF4109"/>
    <w:rsid w:val="00BF4CC3"/>
    <w:rsid w:val="00C040B0"/>
    <w:rsid w:val="00C054C7"/>
    <w:rsid w:val="00C057B5"/>
    <w:rsid w:val="00C0753D"/>
    <w:rsid w:val="00C14277"/>
    <w:rsid w:val="00C20B02"/>
    <w:rsid w:val="00C2267E"/>
    <w:rsid w:val="00C22687"/>
    <w:rsid w:val="00C234FC"/>
    <w:rsid w:val="00C303B1"/>
    <w:rsid w:val="00C3169E"/>
    <w:rsid w:val="00C32E4D"/>
    <w:rsid w:val="00C333A0"/>
    <w:rsid w:val="00C35904"/>
    <w:rsid w:val="00C3616C"/>
    <w:rsid w:val="00C36A81"/>
    <w:rsid w:val="00C41974"/>
    <w:rsid w:val="00C431FE"/>
    <w:rsid w:val="00C447AD"/>
    <w:rsid w:val="00C45A5F"/>
    <w:rsid w:val="00C520DE"/>
    <w:rsid w:val="00C529BE"/>
    <w:rsid w:val="00C53673"/>
    <w:rsid w:val="00C53F4A"/>
    <w:rsid w:val="00C54125"/>
    <w:rsid w:val="00C55B54"/>
    <w:rsid w:val="00C55F2B"/>
    <w:rsid w:val="00C579B9"/>
    <w:rsid w:val="00C6098E"/>
    <w:rsid w:val="00C6152C"/>
    <w:rsid w:val="00C621C2"/>
    <w:rsid w:val="00C629BC"/>
    <w:rsid w:val="00C64BF6"/>
    <w:rsid w:val="00C74810"/>
    <w:rsid w:val="00C81078"/>
    <w:rsid w:val="00C83C00"/>
    <w:rsid w:val="00C84988"/>
    <w:rsid w:val="00C90D68"/>
    <w:rsid w:val="00C939FE"/>
    <w:rsid w:val="00CA0687"/>
    <w:rsid w:val="00CA1030"/>
    <w:rsid w:val="00CA478E"/>
    <w:rsid w:val="00CA4BDA"/>
    <w:rsid w:val="00CB1F66"/>
    <w:rsid w:val="00CB2951"/>
    <w:rsid w:val="00CB5727"/>
    <w:rsid w:val="00CC208C"/>
    <w:rsid w:val="00CD282B"/>
    <w:rsid w:val="00CD3BE9"/>
    <w:rsid w:val="00CD4C35"/>
    <w:rsid w:val="00CD7369"/>
    <w:rsid w:val="00CE0B0E"/>
    <w:rsid w:val="00CE3831"/>
    <w:rsid w:val="00CE58E9"/>
    <w:rsid w:val="00CE744A"/>
    <w:rsid w:val="00CE7483"/>
    <w:rsid w:val="00CF2C24"/>
    <w:rsid w:val="00CF38BC"/>
    <w:rsid w:val="00CF424D"/>
    <w:rsid w:val="00D00530"/>
    <w:rsid w:val="00D008F0"/>
    <w:rsid w:val="00D00ABB"/>
    <w:rsid w:val="00D02EEC"/>
    <w:rsid w:val="00D03551"/>
    <w:rsid w:val="00D03B3D"/>
    <w:rsid w:val="00D06A63"/>
    <w:rsid w:val="00D07E0E"/>
    <w:rsid w:val="00D11478"/>
    <w:rsid w:val="00D15ED0"/>
    <w:rsid w:val="00D16CC5"/>
    <w:rsid w:val="00D21B3E"/>
    <w:rsid w:val="00D21DE1"/>
    <w:rsid w:val="00D21FED"/>
    <w:rsid w:val="00D231C1"/>
    <w:rsid w:val="00D24251"/>
    <w:rsid w:val="00D25F4F"/>
    <w:rsid w:val="00D3270B"/>
    <w:rsid w:val="00D32B6C"/>
    <w:rsid w:val="00D33FB9"/>
    <w:rsid w:val="00D343E2"/>
    <w:rsid w:val="00D361A2"/>
    <w:rsid w:val="00D40E6A"/>
    <w:rsid w:val="00D44C2E"/>
    <w:rsid w:val="00D44E52"/>
    <w:rsid w:val="00D45414"/>
    <w:rsid w:val="00D53C0F"/>
    <w:rsid w:val="00D55C23"/>
    <w:rsid w:val="00D55FB0"/>
    <w:rsid w:val="00D566BD"/>
    <w:rsid w:val="00D57A4D"/>
    <w:rsid w:val="00D60AA7"/>
    <w:rsid w:val="00D60D87"/>
    <w:rsid w:val="00D6435F"/>
    <w:rsid w:val="00D67572"/>
    <w:rsid w:val="00D75E28"/>
    <w:rsid w:val="00D772C2"/>
    <w:rsid w:val="00D8008E"/>
    <w:rsid w:val="00D80104"/>
    <w:rsid w:val="00D80F67"/>
    <w:rsid w:val="00D82C45"/>
    <w:rsid w:val="00D835EA"/>
    <w:rsid w:val="00D842E6"/>
    <w:rsid w:val="00D87529"/>
    <w:rsid w:val="00D87AFB"/>
    <w:rsid w:val="00D908A8"/>
    <w:rsid w:val="00D95851"/>
    <w:rsid w:val="00D95AFD"/>
    <w:rsid w:val="00D977B6"/>
    <w:rsid w:val="00DA0B45"/>
    <w:rsid w:val="00DA1E08"/>
    <w:rsid w:val="00DA4A31"/>
    <w:rsid w:val="00DA61F2"/>
    <w:rsid w:val="00DA7B04"/>
    <w:rsid w:val="00DB36C2"/>
    <w:rsid w:val="00DB7196"/>
    <w:rsid w:val="00DB74C4"/>
    <w:rsid w:val="00DC15E5"/>
    <w:rsid w:val="00DC169B"/>
    <w:rsid w:val="00DC29ED"/>
    <w:rsid w:val="00DC2AB9"/>
    <w:rsid w:val="00DC2FB4"/>
    <w:rsid w:val="00DC63F0"/>
    <w:rsid w:val="00DD6EE5"/>
    <w:rsid w:val="00DD79DF"/>
    <w:rsid w:val="00DD7C0C"/>
    <w:rsid w:val="00DE0DB3"/>
    <w:rsid w:val="00DE1B8E"/>
    <w:rsid w:val="00DE386C"/>
    <w:rsid w:val="00DE4163"/>
    <w:rsid w:val="00DE4D35"/>
    <w:rsid w:val="00DF0549"/>
    <w:rsid w:val="00DF098B"/>
    <w:rsid w:val="00DF0ABA"/>
    <w:rsid w:val="00DF0F4F"/>
    <w:rsid w:val="00DF11C4"/>
    <w:rsid w:val="00DF210C"/>
    <w:rsid w:val="00DF373A"/>
    <w:rsid w:val="00DF43F4"/>
    <w:rsid w:val="00DF4B6A"/>
    <w:rsid w:val="00E01FB3"/>
    <w:rsid w:val="00E02668"/>
    <w:rsid w:val="00E02C09"/>
    <w:rsid w:val="00E03E58"/>
    <w:rsid w:val="00E04D59"/>
    <w:rsid w:val="00E07DA1"/>
    <w:rsid w:val="00E116B6"/>
    <w:rsid w:val="00E123CB"/>
    <w:rsid w:val="00E13E9F"/>
    <w:rsid w:val="00E14A8B"/>
    <w:rsid w:val="00E1557C"/>
    <w:rsid w:val="00E20E13"/>
    <w:rsid w:val="00E21DBC"/>
    <w:rsid w:val="00E275D7"/>
    <w:rsid w:val="00E27DBE"/>
    <w:rsid w:val="00E302B9"/>
    <w:rsid w:val="00E30646"/>
    <w:rsid w:val="00E32AB1"/>
    <w:rsid w:val="00E35312"/>
    <w:rsid w:val="00E36C71"/>
    <w:rsid w:val="00E40404"/>
    <w:rsid w:val="00E4047F"/>
    <w:rsid w:val="00E410D3"/>
    <w:rsid w:val="00E43A5F"/>
    <w:rsid w:val="00E459C6"/>
    <w:rsid w:val="00E463D7"/>
    <w:rsid w:val="00E46EA5"/>
    <w:rsid w:val="00E47589"/>
    <w:rsid w:val="00E54484"/>
    <w:rsid w:val="00E56D7A"/>
    <w:rsid w:val="00E600A4"/>
    <w:rsid w:val="00E60551"/>
    <w:rsid w:val="00E61358"/>
    <w:rsid w:val="00E64915"/>
    <w:rsid w:val="00E661D4"/>
    <w:rsid w:val="00E662BF"/>
    <w:rsid w:val="00E70091"/>
    <w:rsid w:val="00E720F5"/>
    <w:rsid w:val="00E73577"/>
    <w:rsid w:val="00E762B3"/>
    <w:rsid w:val="00E76D47"/>
    <w:rsid w:val="00E849F7"/>
    <w:rsid w:val="00E90302"/>
    <w:rsid w:val="00E94C59"/>
    <w:rsid w:val="00E9597F"/>
    <w:rsid w:val="00E97396"/>
    <w:rsid w:val="00EA185E"/>
    <w:rsid w:val="00EA3A4A"/>
    <w:rsid w:val="00EA4AD1"/>
    <w:rsid w:val="00EA592A"/>
    <w:rsid w:val="00EB14E4"/>
    <w:rsid w:val="00EB32A5"/>
    <w:rsid w:val="00EB34ED"/>
    <w:rsid w:val="00EB41AE"/>
    <w:rsid w:val="00EB7BE0"/>
    <w:rsid w:val="00EC0038"/>
    <w:rsid w:val="00EC1158"/>
    <w:rsid w:val="00EC315E"/>
    <w:rsid w:val="00EC3323"/>
    <w:rsid w:val="00EC462D"/>
    <w:rsid w:val="00EC5E05"/>
    <w:rsid w:val="00ED077C"/>
    <w:rsid w:val="00ED1190"/>
    <w:rsid w:val="00ED16DA"/>
    <w:rsid w:val="00ED3A48"/>
    <w:rsid w:val="00ED4C25"/>
    <w:rsid w:val="00ED6544"/>
    <w:rsid w:val="00EE0277"/>
    <w:rsid w:val="00EE1DA9"/>
    <w:rsid w:val="00EE3E00"/>
    <w:rsid w:val="00EE5DD2"/>
    <w:rsid w:val="00EE655F"/>
    <w:rsid w:val="00EF41F1"/>
    <w:rsid w:val="00EF4F08"/>
    <w:rsid w:val="00F00269"/>
    <w:rsid w:val="00F00A79"/>
    <w:rsid w:val="00F00E86"/>
    <w:rsid w:val="00F00F8B"/>
    <w:rsid w:val="00F013C7"/>
    <w:rsid w:val="00F047C2"/>
    <w:rsid w:val="00F0638B"/>
    <w:rsid w:val="00F07C1E"/>
    <w:rsid w:val="00F1013D"/>
    <w:rsid w:val="00F105DB"/>
    <w:rsid w:val="00F132BC"/>
    <w:rsid w:val="00F13D80"/>
    <w:rsid w:val="00F16AAA"/>
    <w:rsid w:val="00F21012"/>
    <w:rsid w:val="00F21161"/>
    <w:rsid w:val="00F218EF"/>
    <w:rsid w:val="00F21A97"/>
    <w:rsid w:val="00F21BC7"/>
    <w:rsid w:val="00F23F1F"/>
    <w:rsid w:val="00F262F2"/>
    <w:rsid w:val="00F266A2"/>
    <w:rsid w:val="00F27256"/>
    <w:rsid w:val="00F30CE0"/>
    <w:rsid w:val="00F310AC"/>
    <w:rsid w:val="00F31655"/>
    <w:rsid w:val="00F32269"/>
    <w:rsid w:val="00F33085"/>
    <w:rsid w:val="00F344E9"/>
    <w:rsid w:val="00F3697B"/>
    <w:rsid w:val="00F37F04"/>
    <w:rsid w:val="00F42A86"/>
    <w:rsid w:val="00F43F35"/>
    <w:rsid w:val="00F4457E"/>
    <w:rsid w:val="00F46DC9"/>
    <w:rsid w:val="00F4778D"/>
    <w:rsid w:val="00F47BE3"/>
    <w:rsid w:val="00F56A6F"/>
    <w:rsid w:val="00F5709C"/>
    <w:rsid w:val="00F64392"/>
    <w:rsid w:val="00F64EF1"/>
    <w:rsid w:val="00F658DC"/>
    <w:rsid w:val="00F70090"/>
    <w:rsid w:val="00F76F58"/>
    <w:rsid w:val="00F82137"/>
    <w:rsid w:val="00F8216D"/>
    <w:rsid w:val="00F8581E"/>
    <w:rsid w:val="00F8626C"/>
    <w:rsid w:val="00F8765F"/>
    <w:rsid w:val="00F90767"/>
    <w:rsid w:val="00FA4BC1"/>
    <w:rsid w:val="00FA651F"/>
    <w:rsid w:val="00FA685B"/>
    <w:rsid w:val="00FB0C01"/>
    <w:rsid w:val="00FC0CEF"/>
    <w:rsid w:val="00FC18F2"/>
    <w:rsid w:val="00FC39E5"/>
    <w:rsid w:val="00FC3A78"/>
    <w:rsid w:val="00FC5FFE"/>
    <w:rsid w:val="00FD089F"/>
    <w:rsid w:val="00FD1005"/>
    <w:rsid w:val="00FD3180"/>
    <w:rsid w:val="00FD31A2"/>
    <w:rsid w:val="00FD6C75"/>
    <w:rsid w:val="00FE41AB"/>
    <w:rsid w:val="00FE71B3"/>
    <w:rsid w:val="00FF0611"/>
    <w:rsid w:val="00FF42C5"/>
    <w:rsid w:val="00FF462F"/>
    <w:rsid w:val="00FF4EFF"/>
    <w:rsid w:val="00FF56F0"/>
    <w:rsid w:val="00FF7256"/>
    <w:rsid w:val="00FF73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57" w:unhideWhenUsed="1"/>
    <w:lsdException w:name="footer" w:semiHidden="1" w:uiPriority="5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6555F4"/>
    <w:pPr>
      <w:jc w:val="both"/>
    </w:pPr>
    <w:rPr>
      <w:rFonts w:eastAsiaTheme="minorEastAsia"/>
      <w:sz w:val="24"/>
    </w:rPr>
  </w:style>
  <w:style w:type="paragraph" w:styleId="Heading1">
    <w:name w:val="heading 1"/>
    <w:basedOn w:val="Normal"/>
    <w:next w:val="Normal"/>
    <w:link w:val="Heading1Char"/>
    <w:uiPriority w:val="99"/>
    <w:semiHidden/>
    <w:rsid w:val="006555F4"/>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6555F4"/>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6555F4"/>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6555F4"/>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6555F4"/>
    <w:pPr>
      <w:spacing w:before="200"/>
      <w:outlineLvl w:val="4"/>
    </w:pPr>
    <w:rPr>
      <w:rFonts w:asciiTheme="majorHAnsi" w:eastAsiaTheme="majorEastAsia" w:hAnsiTheme="majorHAnsi" w:cstheme="majorBidi"/>
      <w:b/>
      <w:bCs/>
      <w:color w:val="808080"/>
      <w:sz w:val="22"/>
    </w:rPr>
  </w:style>
  <w:style w:type="paragraph" w:styleId="Heading6">
    <w:name w:val="heading 6"/>
    <w:basedOn w:val="Normal"/>
    <w:next w:val="Normal"/>
    <w:link w:val="Heading6Char"/>
    <w:uiPriority w:val="99"/>
    <w:semiHidden/>
    <w:rsid w:val="006555F4"/>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6555F4"/>
    <w:pPr>
      <w:outlineLvl w:val="6"/>
    </w:pPr>
    <w:rPr>
      <w:rFonts w:asciiTheme="majorHAnsi" w:eastAsiaTheme="majorEastAsia" w:hAnsiTheme="majorHAnsi" w:cstheme="majorBidi"/>
      <w:i/>
      <w:iCs/>
      <w:sz w:val="22"/>
      <w:lang w:bidi="en-US"/>
    </w:rPr>
  </w:style>
  <w:style w:type="paragraph" w:styleId="Heading8">
    <w:name w:val="heading 8"/>
    <w:basedOn w:val="Normal"/>
    <w:next w:val="Normal"/>
    <w:link w:val="Heading8Char"/>
    <w:uiPriority w:val="99"/>
    <w:semiHidden/>
    <w:qFormat/>
    <w:rsid w:val="006555F4"/>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9"/>
    <w:semiHidden/>
    <w:qFormat/>
    <w:rsid w:val="006555F4"/>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555F4"/>
    <w:rPr>
      <w:rFonts w:ascii="Tahoma" w:hAnsi="Tahoma" w:cs="Tahoma"/>
      <w:sz w:val="16"/>
      <w:szCs w:val="16"/>
    </w:rPr>
  </w:style>
  <w:style w:type="character" w:customStyle="1" w:styleId="BalloonTextChar">
    <w:name w:val="Balloon Text Char"/>
    <w:basedOn w:val="DefaultParagraphFont"/>
    <w:link w:val="BalloonText"/>
    <w:uiPriority w:val="99"/>
    <w:semiHidden/>
    <w:rsid w:val="006555F4"/>
    <w:rPr>
      <w:rFonts w:ascii="Tahoma" w:eastAsiaTheme="minorEastAsia" w:hAnsi="Tahoma" w:cs="Tahoma"/>
      <w:sz w:val="16"/>
      <w:szCs w:val="16"/>
    </w:rPr>
  </w:style>
  <w:style w:type="character" w:styleId="BookTitle">
    <w:name w:val="Book Title"/>
    <w:uiPriority w:val="99"/>
    <w:semiHidden/>
    <w:qFormat/>
    <w:rsid w:val="006555F4"/>
    <w:rPr>
      <w:i/>
      <w:iCs/>
      <w:smallCaps/>
      <w:spacing w:val="5"/>
    </w:rPr>
  </w:style>
  <w:style w:type="paragraph" w:customStyle="1" w:styleId="ECHRHeader">
    <w:name w:val="ECHR_Header"/>
    <w:aliases w:val="Ju_Header"/>
    <w:basedOn w:val="Header"/>
    <w:uiPriority w:val="4"/>
    <w:qFormat/>
    <w:rsid w:val="006555F4"/>
    <w:pPr>
      <w:tabs>
        <w:tab w:val="clear" w:pos="4536"/>
        <w:tab w:val="clear" w:pos="9072"/>
        <w:tab w:val="center" w:pos="3686"/>
        <w:tab w:val="right" w:pos="7371"/>
      </w:tabs>
      <w:jc w:val="left"/>
    </w:pPr>
    <w:rPr>
      <w:sz w:val="18"/>
    </w:rPr>
  </w:style>
  <w:style w:type="paragraph" w:customStyle="1" w:styleId="ECHRFooter">
    <w:name w:val="ECHR_Footer"/>
    <w:aliases w:val="Footer_ECHR"/>
    <w:basedOn w:val="Footer"/>
    <w:uiPriority w:val="57"/>
    <w:semiHidden/>
    <w:rsid w:val="006555F4"/>
    <w:pPr>
      <w:jc w:val="left"/>
    </w:pPr>
    <w:rPr>
      <w:sz w:val="8"/>
    </w:rPr>
  </w:style>
  <w:style w:type="character" w:styleId="Strong">
    <w:name w:val="Strong"/>
    <w:uiPriority w:val="99"/>
    <w:semiHidden/>
    <w:qFormat/>
    <w:rsid w:val="006555F4"/>
    <w:rPr>
      <w:b/>
      <w:bCs/>
    </w:rPr>
  </w:style>
  <w:style w:type="paragraph" w:styleId="NoSpacing">
    <w:name w:val="No Spacing"/>
    <w:basedOn w:val="Normal"/>
    <w:link w:val="NoSpacingChar"/>
    <w:semiHidden/>
    <w:qFormat/>
    <w:rsid w:val="006555F4"/>
    <w:rPr>
      <w:sz w:val="22"/>
    </w:rPr>
  </w:style>
  <w:style w:type="character" w:customStyle="1" w:styleId="NoSpacingChar">
    <w:name w:val="No Spacing Char"/>
    <w:basedOn w:val="DefaultParagraphFont"/>
    <w:link w:val="NoSpacing"/>
    <w:semiHidden/>
    <w:rsid w:val="006555F4"/>
    <w:rPr>
      <w:rFonts w:eastAsiaTheme="minorEastAsia"/>
    </w:rPr>
  </w:style>
  <w:style w:type="paragraph" w:customStyle="1" w:styleId="ECHRFooterLine">
    <w:name w:val="ECHR_Footer_Line"/>
    <w:aliases w:val="Footer_Line"/>
    <w:basedOn w:val="Normal"/>
    <w:next w:val="ECHRFooter"/>
    <w:uiPriority w:val="57"/>
    <w:semiHidden/>
    <w:rsid w:val="006555F4"/>
    <w:pPr>
      <w:pBdr>
        <w:top w:val="single" w:sz="6" w:space="1" w:color="5F5F5F"/>
      </w:pBdr>
      <w:tabs>
        <w:tab w:val="center" w:pos="4536"/>
        <w:tab w:val="right" w:pos="9696"/>
      </w:tabs>
      <w:ind w:left="-680" w:right="-680"/>
      <w:jc w:val="left"/>
    </w:pPr>
    <w:rPr>
      <w:color w:val="5F5F5F"/>
    </w:rPr>
  </w:style>
  <w:style w:type="paragraph" w:customStyle="1" w:styleId="DecHTitle">
    <w:name w:val="Dec_H_Title"/>
    <w:basedOn w:val="ECHRTitleCentre1"/>
    <w:uiPriority w:val="7"/>
    <w:semiHidden/>
    <w:qFormat/>
    <w:rsid w:val="006555F4"/>
  </w:style>
  <w:style w:type="paragraph" w:customStyle="1" w:styleId="DecList">
    <w:name w:val="Dec_List"/>
    <w:basedOn w:val="Normal"/>
    <w:uiPriority w:val="9"/>
    <w:semiHidden/>
    <w:qFormat/>
    <w:rsid w:val="006555F4"/>
    <w:pPr>
      <w:spacing w:before="240"/>
      <w:ind w:left="284"/>
    </w:pPr>
  </w:style>
  <w:style w:type="paragraph" w:customStyle="1" w:styleId="DummyStyle">
    <w:name w:val="Dummy_Style"/>
    <w:basedOn w:val="Normal"/>
    <w:semiHidden/>
    <w:qFormat/>
    <w:rsid w:val="006555F4"/>
    <w:rPr>
      <w:color w:val="00B050"/>
    </w:rPr>
  </w:style>
  <w:style w:type="paragraph" w:customStyle="1" w:styleId="ECHRTitleCentre3">
    <w:name w:val="ECHR_Title_Centre_3"/>
    <w:aliases w:val="Ju_H_Article"/>
    <w:basedOn w:val="Normal"/>
    <w:next w:val="ECHRParaQuote"/>
    <w:uiPriority w:val="27"/>
    <w:qFormat/>
    <w:rsid w:val="006555F4"/>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aliases w:val="Opi_H_Head"/>
    <w:basedOn w:val="Normal"/>
    <w:next w:val="OpiPara"/>
    <w:uiPriority w:val="39"/>
    <w:qFormat/>
    <w:rsid w:val="006555F4"/>
    <w:pPr>
      <w:keepNext/>
      <w:keepLines/>
      <w:spacing w:after="240"/>
      <w:jc w:val="center"/>
      <w:outlineLvl w:val="0"/>
    </w:pPr>
    <w:rPr>
      <w:rFonts w:asciiTheme="majorHAnsi" w:hAnsiTheme="majorHAnsi"/>
      <w:sz w:val="28"/>
    </w:rPr>
  </w:style>
  <w:style w:type="paragraph" w:customStyle="1" w:styleId="JuAppQuestion">
    <w:name w:val="Ju_App_Question"/>
    <w:basedOn w:val="Normal"/>
    <w:uiPriority w:val="5"/>
    <w:semiHidden/>
    <w:qFormat/>
    <w:rsid w:val="006555F4"/>
    <w:pPr>
      <w:numPr>
        <w:numId w:val="22"/>
      </w:numPr>
      <w:jc w:val="left"/>
    </w:pPr>
    <w:rPr>
      <w:b/>
    </w:rPr>
  </w:style>
  <w:style w:type="paragraph" w:customStyle="1" w:styleId="JuCourt">
    <w:name w:val="Ju_Court"/>
    <w:basedOn w:val="Normal"/>
    <w:next w:val="Normal"/>
    <w:uiPriority w:val="16"/>
    <w:qFormat/>
    <w:rsid w:val="006555F4"/>
    <w:pPr>
      <w:tabs>
        <w:tab w:val="left" w:pos="907"/>
        <w:tab w:val="left" w:pos="1701"/>
        <w:tab w:val="right" w:pos="7371"/>
      </w:tabs>
      <w:spacing w:before="240"/>
      <w:ind w:left="397" w:hanging="397"/>
      <w:jc w:val="left"/>
    </w:pPr>
    <w:rPr>
      <w:lang w:bidi="en-US"/>
    </w:rPr>
  </w:style>
  <w:style w:type="paragraph" w:customStyle="1" w:styleId="JuHeaderLandscape">
    <w:name w:val="Ju_Header_Landscape"/>
    <w:basedOn w:val="ECHRHeader"/>
    <w:uiPriority w:val="4"/>
    <w:qFormat/>
    <w:rsid w:val="006555F4"/>
    <w:pPr>
      <w:tabs>
        <w:tab w:val="clear" w:pos="3686"/>
        <w:tab w:val="clear" w:pos="7371"/>
        <w:tab w:val="center" w:pos="6146"/>
        <w:tab w:val="right" w:pos="12293"/>
      </w:tabs>
    </w:pPr>
  </w:style>
  <w:style w:type="paragraph" w:customStyle="1" w:styleId="ECHRTitleCentre2">
    <w:name w:val="ECHR_Title_Centre_2"/>
    <w:aliases w:val="Dec_H_Case"/>
    <w:basedOn w:val="Normal"/>
    <w:next w:val="ECHRPara"/>
    <w:uiPriority w:val="8"/>
    <w:qFormat/>
    <w:rsid w:val="006555F4"/>
    <w:pPr>
      <w:spacing w:after="240"/>
      <w:jc w:val="center"/>
      <w:outlineLvl w:val="0"/>
    </w:pPr>
    <w:rPr>
      <w:rFonts w:asciiTheme="majorHAnsi" w:hAnsiTheme="majorHAnsi"/>
    </w:rPr>
  </w:style>
  <w:style w:type="paragraph" w:customStyle="1" w:styleId="JuInitialled">
    <w:name w:val="Ju_Initialled"/>
    <w:basedOn w:val="Normal"/>
    <w:uiPriority w:val="31"/>
    <w:qFormat/>
    <w:rsid w:val="006555F4"/>
    <w:pPr>
      <w:tabs>
        <w:tab w:val="center" w:pos="6407"/>
      </w:tabs>
      <w:spacing w:before="720"/>
      <w:jc w:val="right"/>
    </w:pPr>
  </w:style>
  <w:style w:type="paragraph" w:styleId="Title">
    <w:name w:val="Title"/>
    <w:basedOn w:val="Normal"/>
    <w:next w:val="Normal"/>
    <w:link w:val="TitleChar"/>
    <w:uiPriority w:val="99"/>
    <w:semiHidden/>
    <w:qFormat/>
    <w:rsid w:val="006555F4"/>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9"/>
    <w:semiHidden/>
    <w:rsid w:val="006555F4"/>
    <w:rPr>
      <w:rFonts w:asciiTheme="majorHAnsi" w:eastAsiaTheme="majorEastAsia" w:hAnsiTheme="majorHAnsi" w:cstheme="majorBidi"/>
      <w:spacing w:val="5"/>
      <w:sz w:val="52"/>
      <w:szCs w:val="52"/>
      <w:lang w:bidi="en-US"/>
    </w:rPr>
  </w:style>
  <w:style w:type="paragraph" w:customStyle="1" w:styleId="ECHRHeading3">
    <w:name w:val="ECHR_Heading_3"/>
    <w:aliases w:val="Ju_H_1."/>
    <w:basedOn w:val="Heading3"/>
    <w:next w:val="ECHRPara"/>
    <w:uiPriority w:val="21"/>
    <w:qFormat/>
    <w:rsid w:val="006555F4"/>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Heading4"/>
    <w:next w:val="ECHRPara"/>
    <w:uiPriority w:val="22"/>
    <w:qFormat/>
    <w:rsid w:val="006555F4"/>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Heading5"/>
    <w:next w:val="ECHRPara"/>
    <w:uiPriority w:val="23"/>
    <w:qFormat/>
    <w:rsid w:val="006555F4"/>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6555F4"/>
    <w:pPr>
      <w:keepNext/>
      <w:keepLines/>
      <w:tabs>
        <w:tab w:val="left" w:pos="1372"/>
      </w:tabs>
      <w:spacing w:before="240" w:after="120" w:line="240" w:lineRule="auto"/>
      <w:ind w:left="1373" w:hanging="335"/>
    </w:pPr>
    <w:rPr>
      <w:b w:val="0"/>
      <w:color w:val="auto"/>
      <w:sz w:val="20"/>
    </w:rPr>
  </w:style>
  <w:style w:type="paragraph" w:customStyle="1" w:styleId="ECHRHeading7">
    <w:name w:val="ECHR_Heading_7"/>
    <w:aliases w:val="Ju_H_–"/>
    <w:basedOn w:val="Heading7"/>
    <w:next w:val="ECHRPara"/>
    <w:uiPriority w:val="25"/>
    <w:qFormat/>
    <w:rsid w:val="006555F4"/>
    <w:pPr>
      <w:keepNext/>
      <w:keepLines/>
      <w:spacing w:before="240" w:after="120"/>
      <w:ind w:left="1236"/>
    </w:pPr>
    <w:rPr>
      <w:sz w:val="20"/>
    </w:rPr>
  </w:style>
  <w:style w:type="paragraph" w:customStyle="1" w:styleId="JuQuotSub">
    <w:name w:val="Ju_Quot_Sub"/>
    <w:basedOn w:val="ECHRParaQuote"/>
    <w:uiPriority w:val="15"/>
    <w:qFormat/>
    <w:rsid w:val="006555F4"/>
    <w:pPr>
      <w:ind w:left="567"/>
    </w:pPr>
  </w:style>
  <w:style w:type="character" w:customStyle="1" w:styleId="JuITMark">
    <w:name w:val="Ju_ITMark"/>
    <w:basedOn w:val="DefaultParagraphFont"/>
    <w:uiPriority w:val="38"/>
    <w:qFormat/>
    <w:rsid w:val="006555F4"/>
    <w:rPr>
      <w:vanish w:val="0"/>
      <w:color w:val="auto"/>
      <w:sz w:val="14"/>
      <w:bdr w:val="none" w:sz="0" w:space="0" w:color="auto"/>
      <w:shd w:val="clear" w:color="auto" w:fill="BEE5FF" w:themeFill="background1" w:themeFillTint="33"/>
    </w:rPr>
  </w:style>
  <w:style w:type="character" w:customStyle="1" w:styleId="JUNAMES">
    <w:name w:val="JU_NAMES"/>
    <w:uiPriority w:val="17"/>
    <w:qFormat/>
    <w:rsid w:val="006555F4"/>
    <w:rPr>
      <w:caps w:val="0"/>
      <w:smallCaps/>
    </w:rPr>
  </w:style>
  <w:style w:type="paragraph" w:styleId="Header">
    <w:name w:val="header"/>
    <w:basedOn w:val="Normal"/>
    <w:link w:val="HeaderChar"/>
    <w:uiPriority w:val="57"/>
    <w:semiHidden/>
    <w:rsid w:val="006555F4"/>
    <w:pPr>
      <w:tabs>
        <w:tab w:val="center" w:pos="4536"/>
        <w:tab w:val="right" w:pos="9072"/>
      </w:tabs>
    </w:pPr>
    <w:rPr>
      <w:rFonts w:eastAsiaTheme="minorHAnsi"/>
    </w:rPr>
  </w:style>
  <w:style w:type="character" w:customStyle="1" w:styleId="HeaderChar">
    <w:name w:val="Header Char"/>
    <w:basedOn w:val="DefaultParagraphFont"/>
    <w:link w:val="Header"/>
    <w:uiPriority w:val="57"/>
    <w:semiHidden/>
    <w:rsid w:val="006555F4"/>
    <w:rPr>
      <w:sz w:val="24"/>
    </w:rPr>
  </w:style>
  <w:style w:type="character" w:customStyle="1" w:styleId="Heading1Char">
    <w:name w:val="Heading 1 Char"/>
    <w:basedOn w:val="DefaultParagraphFont"/>
    <w:link w:val="Heading1"/>
    <w:uiPriority w:val="99"/>
    <w:semiHidden/>
    <w:rsid w:val="006555F4"/>
    <w:rPr>
      <w:rFonts w:asciiTheme="majorHAnsi" w:eastAsiaTheme="majorEastAsia" w:hAnsiTheme="majorHAnsi" w:cstheme="majorBidi"/>
      <w:b/>
      <w:bCs/>
      <w:color w:val="333333"/>
      <w:sz w:val="28"/>
      <w:szCs w:val="28"/>
    </w:rPr>
  </w:style>
  <w:style w:type="paragraph" w:customStyle="1" w:styleId="ECHRHeading1">
    <w:name w:val="ECHR_Heading_1"/>
    <w:aliases w:val="Ju_H_I_Roman"/>
    <w:basedOn w:val="Heading1"/>
    <w:next w:val="ECHRPara"/>
    <w:uiPriority w:val="19"/>
    <w:qFormat/>
    <w:rsid w:val="006555F4"/>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Heading2"/>
    <w:next w:val="ECHRPara"/>
    <w:uiPriority w:val="20"/>
    <w:qFormat/>
    <w:rsid w:val="006555F4"/>
    <w:pPr>
      <w:keepNext/>
      <w:keepLines/>
      <w:tabs>
        <w:tab w:val="left" w:pos="584"/>
      </w:tabs>
      <w:spacing w:before="360" w:after="240"/>
      <w:ind w:left="584" w:hanging="352"/>
    </w:pPr>
    <w:rPr>
      <w:color w:val="auto"/>
      <w:sz w:val="24"/>
    </w:rPr>
  </w:style>
  <w:style w:type="character" w:customStyle="1" w:styleId="Heading2Char">
    <w:name w:val="Heading 2 Char"/>
    <w:basedOn w:val="DefaultParagraphFont"/>
    <w:link w:val="Heading2"/>
    <w:uiPriority w:val="99"/>
    <w:semiHidden/>
    <w:rsid w:val="006555F4"/>
    <w:rPr>
      <w:rFonts w:asciiTheme="majorHAnsi" w:eastAsiaTheme="majorEastAsia" w:hAnsiTheme="majorHAnsi" w:cstheme="majorBidi"/>
      <w:b/>
      <w:bCs/>
      <w:color w:val="4D4D4D"/>
      <w:sz w:val="26"/>
      <w:szCs w:val="26"/>
    </w:rPr>
  </w:style>
  <w:style w:type="paragraph" w:customStyle="1" w:styleId="JuParaSub">
    <w:name w:val="Ju_Para_Sub"/>
    <w:basedOn w:val="ECHRPara"/>
    <w:uiPriority w:val="13"/>
    <w:qFormat/>
    <w:rsid w:val="006555F4"/>
    <w:pPr>
      <w:ind w:left="284"/>
    </w:pPr>
  </w:style>
  <w:style w:type="paragraph" w:customStyle="1" w:styleId="JuCase">
    <w:name w:val="Ju_Case"/>
    <w:basedOn w:val="Normal"/>
    <w:next w:val="ECHRPara"/>
    <w:uiPriority w:val="10"/>
    <w:rsid w:val="006555F4"/>
    <w:pPr>
      <w:ind w:firstLine="284"/>
    </w:pPr>
    <w:rPr>
      <w:b/>
    </w:rPr>
  </w:style>
  <w:style w:type="character" w:customStyle="1" w:styleId="Heading3Char">
    <w:name w:val="Heading 3 Char"/>
    <w:basedOn w:val="DefaultParagraphFont"/>
    <w:link w:val="Heading3"/>
    <w:uiPriority w:val="99"/>
    <w:semiHidden/>
    <w:rsid w:val="006555F4"/>
    <w:rPr>
      <w:rFonts w:asciiTheme="majorHAnsi" w:eastAsiaTheme="majorEastAsia" w:hAnsiTheme="majorHAnsi" w:cstheme="majorBidi"/>
      <w:b/>
      <w:bCs/>
      <w:color w:val="5F5F5F"/>
      <w:sz w:val="24"/>
    </w:rPr>
  </w:style>
  <w:style w:type="character" w:customStyle="1" w:styleId="Heading4Char">
    <w:name w:val="Heading 4 Char"/>
    <w:basedOn w:val="DefaultParagraphFont"/>
    <w:link w:val="Heading4"/>
    <w:uiPriority w:val="99"/>
    <w:semiHidden/>
    <w:rsid w:val="006555F4"/>
    <w:rPr>
      <w:rFonts w:asciiTheme="majorHAnsi" w:eastAsiaTheme="majorEastAsia" w:hAnsiTheme="majorHAnsi" w:cstheme="majorBidi"/>
      <w:b/>
      <w:bCs/>
      <w:i/>
      <w:iCs/>
      <w:color w:val="777777"/>
      <w:sz w:val="24"/>
    </w:rPr>
  </w:style>
  <w:style w:type="character" w:customStyle="1" w:styleId="Heading5Char">
    <w:name w:val="Heading 5 Char"/>
    <w:basedOn w:val="DefaultParagraphFont"/>
    <w:link w:val="Heading5"/>
    <w:uiPriority w:val="99"/>
    <w:semiHidden/>
    <w:rsid w:val="006555F4"/>
    <w:rPr>
      <w:rFonts w:asciiTheme="majorHAnsi" w:eastAsiaTheme="majorEastAsia" w:hAnsiTheme="majorHAnsi" w:cstheme="majorBidi"/>
      <w:b/>
      <w:bCs/>
      <w:color w:val="808080"/>
    </w:rPr>
  </w:style>
  <w:style w:type="character" w:styleId="SubtleEmphasis">
    <w:name w:val="Subtle Emphasis"/>
    <w:uiPriority w:val="99"/>
    <w:semiHidden/>
    <w:qFormat/>
    <w:rsid w:val="006555F4"/>
    <w:rPr>
      <w:i/>
      <w:iCs/>
    </w:rPr>
  </w:style>
  <w:style w:type="table" w:customStyle="1" w:styleId="ECHRTable">
    <w:name w:val="ECHR_Table"/>
    <w:basedOn w:val="TableNormal"/>
    <w:rsid w:val="00860B03"/>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
    <w:basedOn w:val="Normal"/>
    <w:next w:val="ECHRPara"/>
    <w:uiPriority w:val="18"/>
    <w:qFormat/>
    <w:rsid w:val="006555F4"/>
    <w:pPr>
      <w:keepNext/>
      <w:keepLines/>
      <w:spacing w:before="720" w:after="240"/>
      <w:outlineLvl w:val="0"/>
    </w:pPr>
    <w:rPr>
      <w:rFonts w:asciiTheme="majorHAnsi" w:hAnsiTheme="majorHAnsi"/>
      <w:sz w:val="28"/>
    </w:rPr>
  </w:style>
  <w:style w:type="character" w:styleId="Emphasis">
    <w:name w:val="Emphasis"/>
    <w:uiPriority w:val="99"/>
    <w:semiHidden/>
    <w:qFormat/>
    <w:rsid w:val="006555F4"/>
    <w:rPr>
      <w:b/>
      <w:bCs/>
      <w:i/>
      <w:iCs/>
      <w:spacing w:val="10"/>
      <w:bdr w:val="none" w:sz="0" w:space="0" w:color="auto"/>
      <w:shd w:val="clear" w:color="auto" w:fill="auto"/>
    </w:rPr>
  </w:style>
  <w:style w:type="paragraph" w:styleId="Footer">
    <w:name w:val="footer"/>
    <w:basedOn w:val="Normal"/>
    <w:link w:val="FooterChar"/>
    <w:uiPriority w:val="57"/>
    <w:semiHidden/>
    <w:rsid w:val="006555F4"/>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57"/>
    <w:semiHidden/>
    <w:rsid w:val="006555F4"/>
    <w:rPr>
      <w:sz w:val="24"/>
    </w:rPr>
  </w:style>
  <w:style w:type="character" w:styleId="FootnoteReference">
    <w:name w:val="footnote reference"/>
    <w:basedOn w:val="DefaultParagraphFont"/>
    <w:uiPriority w:val="99"/>
    <w:semiHidden/>
    <w:rsid w:val="006555F4"/>
    <w:rPr>
      <w:vertAlign w:val="superscript"/>
    </w:rPr>
  </w:style>
  <w:style w:type="paragraph" w:styleId="FootnoteText">
    <w:name w:val="footnote text"/>
    <w:basedOn w:val="Normal"/>
    <w:link w:val="FootnoteTextChar"/>
    <w:uiPriority w:val="99"/>
    <w:semiHidden/>
    <w:rsid w:val="006555F4"/>
    <w:rPr>
      <w:sz w:val="20"/>
      <w:szCs w:val="20"/>
    </w:rPr>
  </w:style>
  <w:style w:type="character" w:customStyle="1" w:styleId="FootnoteTextChar">
    <w:name w:val="Footnote Text Char"/>
    <w:basedOn w:val="DefaultParagraphFont"/>
    <w:link w:val="FootnoteText"/>
    <w:uiPriority w:val="99"/>
    <w:semiHidden/>
    <w:rsid w:val="006555F4"/>
    <w:rPr>
      <w:rFonts w:eastAsiaTheme="minorEastAsia"/>
      <w:sz w:val="20"/>
      <w:szCs w:val="20"/>
    </w:rPr>
  </w:style>
  <w:style w:type="character" w:customStyle="1" w:styleId="Heading6Char">
    <w:name w:val="Heading 6 Char"/>
    <w:basedOn w:val="DefaultParagraphFont"/>
    <w:link w:val="Heading6"/>
    <w:uiPriority w:val="99"/>
    <w:semiHidden/>
    <w:rsid w:val="006555F4"/>
    <w:rPr>
      <w:rFonts w:asciiTheme="majorHAnsi" w:eastAsiaTheme="majorEastAsia" w:hAnsiTheme="majorHAnsi" w:cstheme="majorBidi"/>
      <w:b/>
      <w:bCs/>
      <w:i/>
      <w:iCs/>
      <w:color w:val="7F7F7F" w:themeColor="text1" w:themeTint="80"/>
      <w:sz w:val="24"/>
      <w:lang w:bidi="en-US"/>
    </w:rPr>
  </w:style>
  <w:style w:type="character" w:customStyle="1" w:styleId="Heading7Char">
    <w:name w:val="Heading 7 Char"/>
    <w:basedOn w:val="DefaultParagraphFont"/>
    <w:link w:val="Heading7"/>
    <w:uiPriority w:val="99"/>
    <w:semiHidden/>
    <w:rsid w:val="006555F4"/>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9"/>
    <w:semiHidden/>
    <w:rsid w:val="006555F4"/>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semiHidden/>
    <w:rsid w:val="006555F4"/>
    <w:rPr>
      <w:rFonts w:asciiTheme="majorHAnsi" w:eastAsiaTheme="majorEastAsia" w:hAnsiTheme="majorHAnsi" w:cstheme="majorBidi"/>
      <w:i/>
      <w:iCs/>
      <w:spacing w:val="5"/>
      <w:sz w:val="20"/>
      <w:szCs w:val="20"/>
      <w:lang w:bidi="en-US"/>
    </w:rPr>
  </w:style>
  <w:style w:type="character" w:styleId="Hyperlink">
    <w:name w:val="Hyperlink"/>
    <w:basedOn w:val="DefaultParagraphFont"/>
    <w:uiPriority w:val="99"/>
    <w:semiHidden/>
    <w:rsid w:val="006555F4"/>
    <w:rPr>
      <w:color w:val="0072BC" w:themeColor="hyperlink"/>
      <w:u w:val="single"/>
    </w:rPr>
  </w:style>
  <w:style w:type="character" w:styleId="IntenseEmphasis">
    <w:name w:val="Intense Emphasis"/>
    <w:uiPriority w:val="99"/>
    <w:semiHidden/>
    <w:qFormat/>
    <w:rsid w:val="006555F4"/>
    <w:rPr>
      <w:b/>
      <w:bCs/>
    </w:rPr>
  </w:style>
  <w:style w:type="paragraph" w:styleId="IntenseQuote">
    <w:name w:val="Intense Quote"/>
    <w:basedOn w:val="Normal"/>
    <w:next w:val="Normal"/>
    <w:link w:val="IntenseQuoteChar"/>
    <w:uiPriority w:val="99"/>
    <w:semiHidden/>
    <w:qFormat/>
    <w:rsid w:val="006555F4"/>
    <w:pPr>
      <w:pBdr>
        <w:bottom w:val="single" w:sz="4" w:space="1" w:color="auto"/>
      </w:pBdr>
      <w:spacing w:before="200" w:after="280"/>
      <w:ind w:left="1008" w:right="1152"/>
    </w:pPr>
    <w:rPr>
      <w:b/>
      <w:bCs/>
      <w:i/>
      <w:iCs/>
      <w:sz w:val="22"/>
      <w:lang w:bidi="en-US"/>
    </w:rPr>
  </w:style>
  <w:style w:type="character" w:customStyle="1" w:styleId="IntenseQuoteChar">
    <w:name w:val="Intense Quote Char"/>
    <w:basedOn w:val="DefaultParagraphFont"/>
    <w:link w:val="IntenseQuote"/>
    <w:uiPriority w:val="99"/>
    <w:semiHidden/>
    <w:rsid w:val="006555F4"/>
    <w:rPr>
      <w:rFonts w:eastAsiaTheme="minorEastAsia"/>
      <w:b/>
      <w:bCs/>
      <w:i/>
      <w:iCs/>
      <w:lang w:bidi="en-US"/>
    </w:rPr>
  </w:style>
  <w:style w:type="character" w:styleId="IntenseReference">
    <w:name w:val="Intense Reference"/>
    <w:uiPriority w:val="99"/>
    <w:semiHidden/>
    <w:qFormat/>
    <w:rsid w:val="006555F4"/>
    <w:rPr>
      <w:smallCaps/>
      <w:spacing w:val="5"/>
      <w:u w:val="single"/>
    </w:rPr>
  </w:style>
  <w:style w:type="paragraph" w:styleId="ListParagraph">
    <w:name w:val="List Paragraph"/>
    <w:basedOn w:val="Normal"/>
    <w:uiPriority w:val="99"/>
    <w:semiHidden/>
    <w:qFormat/>
    <w:rsid w:val="006555F4"/>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6555F4"/>
    <w:pPr>
      <w:spacing w:before="200"/>
      <w:ind w:left="360" w:right="360"/>
    </w:pPr>
    <w:rPr>
      <w:i/>
      <w:iCs/>
      <w:sz w:val="22"/>
      <w:lang w:bidi="en-US"/>
    </w:rPr>
  </w:style>
  <w:style w:type="character" w:customStyle="1" w:styleId="QuoteChar">
    <w:name w:val="Quote Char"/>
    <w:basedOn w:val="DefaultParagraphFont"/>
    <w:link w:val="Quote"/>
    <w:uiPriority w:val="99"/>
    <w:semiHidden/>
    <w:rsid w:val="006555F4"/>
    <w:rPr>
      <w:rFonts w:eastAsiaTheme="minorEastAsia"/>
      <w:i/>
      <w:iCs/>
      <w:lang w:bidi="en-US"/>
    </w:rPr>
  </w:style>
  <w:style w:type="character" w:styleId="SubtleReference">
    <w:name w:val="Subtle Reference"/>
    <w:uiPriority w:val="99"/>
    <w:semiHidden/>
    <w:qFormat/>
    <w:rsid w:val="006555F4"/>
    <w:rPr>
      <w:smallCaps/>
    </w:rPr>
  </w:style>
  <w:style w:type="table" w:styleId="TableGrid">
    <w:name w:val="Table Grid"/>
    <w:basedOn w:val="TableNormal"/>
    <w:uiPriority w:val="59"/>
    <w:semiHidden/>
    <w:rsid w:val="006555F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6555F4"/>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9"/>
    <w:semiHidden/>
    <w:rsid w:val="006555F4"/>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9"/>
    <w:semiHidden/>
    <w:rsid w:val="006555F4"/>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9"/>
    <w:semiHidden/>
    <w:rsid w:val="006555F4"/>
    <w:pPr>
      <w:tabs>
        <w:tab w:val="right" w:leader="dot" w:pos="7371"/>
      </w:tabs>
      <w:spacing w:after="60" w:line="240" w:lineRule="exact"/>
      <w:ind w:left="1361" w:right="567" w:hanging="340"/>
    </w:pPr>
    <w:rPr>
      <w:sz w:val="20"/>
    </w:rPr>
  </w:style>
  <w:style w:type="paragraph" w:styleId="TOC5">
    <w:name w:val="toc 5"/>
    <w:basedOn w:val="Normal"/>
    <w:next w:val="Normal"/>
    <w:autoRedefine/>
    <w:uiPriority w:val="99"/>
    <w:semiHidden/>
    <w:rsid w:val="006555F4"/>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9"/>
    <w:semiHidden/>
    <w:qFormat/>
    <w:rsid w:val="006555F4"/>
    <w:pPr>
      <w:keepNext/>
      <w:keepLines/>
      <w:spacing w:before="240"/>
      <w:contextualSpacing/>
      <w:jc w:val="center"/>
    </w:pPr>
    <w:rPr>
      <w:rFonts w:asciiTheme="majorHAnsi" w:eastAsiaTheme="minorHAnsi" w:hAnsiTheme="majorHAnsi"/>
      <w:b/>
      <w:color w:val="474747" w:themeColor="accent3" w:themeShade="BF"/>
      <w:sz w:val="28"/>
    </w:rPr>
  </w:style>
  <w:style w:type="table" w:customStyle="1" w:styleId="UGTable">
    <w:name w:val="UG_Table"/>
    <w:basedOn w:val="TableNormal"/>
    <w:uiPriority w:val="99"/>
    <w:rsid w:val="00801300"/>
    <w:rPr>
      <w:rFonts w:eastAsiaTheme="minorEastAsia"/>
      <w:sz w:val="20"/>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Theme="minorEastAsia"/>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6555F4"/>
    <w:pPr>
      <w:keepNext/>
      <w:keepLines/>
      <w:spacing w:before="240"/>
      <w:contextualSpacing/>
      <w:jc w:val="center"/>
    </w:pPr>
    <w:rPr>
      <w:rFonts w:asciiTheme="majorHAnsi" w:eastAsiaTheme="majorEastAsia" w:hAnsiTheme="majorHAnsi" w:cstheme="majorBidi"/>
      <w:b/>
      <w:bCs/>
      <w:color w:val="474747" w:themeColor="accent3" w:themeShade="BF"/>
      <w:sz w:val="28"/>
      <w:szCs w:val="24"/>
    </w:rPr>
  </w:style>
  <w:style w:type="paragraph" w:customStyle="1" w:styleId="ECHRParaQuote">
    <w:name w:val="ECHR_Para_Quote"/>
    <w:aliases w:val="Ju_Quot"/>
    <w:basedOn w:val="Normal"/>
    <w:link w:val="JuQuotChar"/>
    <w:uiPriority w:val="14"/>
    <w:qFormat/>
    <w:rsid w:val="006555F4"/>
    <w:pPr>
      <w:spacing w:before="120" w:after="120"/>
      <w:ind w:left="425" w:firstLine="142"/>
    </w:pPr>
    <w:rPr>
      <w:sz w:val="20"/>
    </w:rPr>
  </w:style>
  <w:style w:type="paragraph" w:customStyle="1" w:styleId="ECHRPara">
    <w:name w:val="ECHR_Para"/>
    <w:aliases w:val="Ju_Para"/>
    <w:basedOn w:val="Normal"/>
    <w:link w:val="ECHRParaChar"/>
    <w:uiPriority w:val="12"/>
    <w:qFormat/>
    <w:rsid w:val="006555F4"/>
    <w:pPr>
      <w:ind w:firstLine="284"/>
    </w:pPr>
  </w:style>
  <w:style w:type="table" w:customStyle="1" w:styleId="ECHRTableSimpleBox">
    <w:name w:val="ECHR_Table_Simple_Box"/>
    <w:basedOn w:val="TableNormal"/>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6555F4"/>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TableNormal"/>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customStyle="1" w:styleId="ECHRDecisionBody">
    <w:name w:val="ECHR_Decision_Body"/>
    <w:aliases w:val="Ju_Judges"/>
    <w:basedOn w:val="Normal"/>
    <w:uiPriority w:val="11"/>
    <w:qFormat/>
    <w:rsid w:val="006555F4"/>
    <w:pPr>
      <w:tabs>
        <w:tab w:val="left" w:pos="567"/>
        <w:tab w:val="left" w:pos="1134"/>
      </w:tabs>
      <w:jc w:val="left"/>
    </w:p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List">
    <w:name w:val="Ju_List"/>
    <w:basedOn w:val="Normal"/>
    <w:uiPriority w:val="28"/>
    <w:qFormat/>
    <w:rsid w:val="006555F4"/>
    <w:pPr>
      <w:ind w:left="340" w:hanging="340"/>
    </w:pPr>
  </w:style>
  <w:style w:type="paragraph" w:customStyle="1" w:styleId="JuSigned">
    <w:name w:val="Ju_Signed"/>
    <w:basedOn w:val="Normal"/>
    <w:next w:val="JuParaLast"/>
    <w:uiPriority w:val="32"/>
    <w:qFormat/>
    <w:rsid w:val="006555F4"/>
    <w:pPr>
      <w:tabs>
        <w:tab w:val="center" w:pos="851"/>
        <w:tab w:val="center" w:pos="6407"/>
      </w:tabs>
      <w:spacing w:before="720"/>
      <w:jc w:val="left"/>
    </w:pPr>
  </w:style>
  <w:style w:type="paragraph" w:customStyle="1" w:styleId="JuParaLast">
    <w:name w:val="Ju_Para_Last"/>
    <w:basedOn w:val="Normal"/>
    <w:next w:val="ECHRPara"/>
    <w:uiPriority w:val="30"/>
    <w:qFormat/>
    <w:rsid w:val="006555F4"/>
    <w:pPr>
      <w:keepNext/>
      <w:keepLines/>
      <w:spacing w:before="240"/>
      <w:ind w:firstLine="284"/>
    </w:pPr>
  </w:style>
  <w:style w:type="paragraph" w:customStyle="1" w:styleId="JuTitle">
    <w:name w:val="Ju_Title"/>
    <w:basedOn w:val="Normal"/>
    <w:next w:val="ECHRPara"/>
    <w:uiPriority w:val="3"/>
    <w:semiHidden/>
    <w:qFormat/>
    <w:rsid w:val="006555F4"/>
    <w:pPr>
      <w:spacing w:before="720" w:after="240"/>
      <w:jc w:val="center"/>
      <w:outlineLvl w:val="0"/>
    </w:pPr>
    <w:rPr>
      <w:rFonts w:asciiTheme="majorHAnsi" w:hAnsiTheme="majorHAnsi"/>
      <w:b/>
      <w:caps/>
    </w:rPr>
  </w:style>
  <w:style w:type="character" w:styleId="PageNumber">
    <w:name w:val="page number"/>
    <w:uiPriority w:val="99"/>
    <w:semiHidden/>
    <w:rsid w:val="00014566"/>
    <w:rPr>
      <w:sz w:val="18"/>
    </w:rPr>
  </w:style>
  <w:style w:type="paragraph" w:customStyle="1" w:styleId="JuLista">
    <w:name w:val="Ju_List_a"/>
    <w:basedOn w:val="JuList"/>
    <w:uiPriority w:val="28"/>
    <w:qFormat/>
    <w:rsid w:val="006555F4"/>
    <w:pPr>
      <w:ind w:left="346" w:firstLine="0"/>
    </w:pPr>
  </w:style>
  <w:style w:type="paragraph" w:customStyle="1" w:styleId="JuListi">
    <w:name w:val="Ju_List_i"/>
    <w:basedOn w:val="Normal"/>
    <w:next w:val="JuLista"/>
    <w:uiPriority w:val="28"/>
    <w:qFormat/>
    <w:rsid w:val="006555F4"/>
    <w:pPr>
      <w:ind w:left="794"/>
    </w:pPr>
  </w:style>
  <w:style w:type="character" w:styleId="CommentReference">
    <w:name w:val="annotation reference"/>
    <w:uiPriority w:val="99"/>
    <w:semiHidden/>
    <w:rsid w:val="00014566"/>
    <w:rPr>
      <w:sz w:val="16"/>
    </w:rPr>
  </w:style>
  <w:style w:type="paragraph" w:styleId="CommentText">
    <w:name w:val="annotation text"/>
    <w:basedOn w:val="Normal"/>
    <w:link w:val="CommentTextChar"/>
    <w:semiHidden/>
    <w:rsid w:val="00014566"/>
    <w:rPr>
      <w:sz w:val="20"/>
    </w:rPr>
  </w:style>
  <w:style w:type="character" w:customStyle="1" w:styleId="CommentTextChar">
    <w:name w:val="Comment Text Char"/>
    <w:basedOn w:val="DefaultParagraphFont"/>
    <w:link w:val="CommentText"/>
    <w:semiHidden/>
    <w:rsid w:val="00014566"/>
    <w:rPr>
      <w:rFonts w:eastAsiaTheme="minorEastAsia"/>
      <w:sz w:val="20"/>
    </w:rPr>
  </w:style>
  <w:style w:type="paragraph" w:styleId="CommentSubject">
    <w:name w:val="annotation subject"/>
    <w:basedOn w:val="CommentText"/>
    <w:next w:val="CommentText"/>
    <w:link w:val="CommentSubjectChar"/>
    <w:uiPriority w:val="99"/>
    <w:semiHidden/>
    <w:rsid w:val="00014566"/>
    <w:rPr>
      <w:b/>
      <w:bCs/>
    </w:rPr>
  </w:style>
  <w:style w:type="character" w:customStyle="1" w:styleId="CommentSubjectChar">
    <w:name w:val="Comment Subject Char"/>
    <w:basedOn w:val="CommentTextChar"/>
    <w:link w:val="CommentSubject"/>
    <w:uiPriority w:val="99"/>
    <w:semiHidden/>
    <w:rsid w:val="00014566"/>
    <w:rPr>
      <w:rFonts w:eastAsiaTheme="minorEastAsia"/>
      <w:b/>
      <w:bCs/>
      <w:sz w:val="20"/>
    </w:rPr>
  </w:style>
  <w:style w:type="character" w:styleId="EndnoteReference">
    <w:name w:val="endnote reference"/>
    <w:uiPriority w:val="99"/>
    <w:semiHidden/>
    <w:rsid w:val="00014566"/>
    <w:rPr>
      <w:vertAlign w:val="superscript"/>
    </w:rPr>
  </w:style>
  <w:style w:type="paragraph" w:styleId="EndnoteText">
    <w:name w:val="endnote text"/>
    <w:basedOn w:val="Normal"/>
    <w:link w:val="EndnoteTextChar"/>
    <w:uiPriority w:val="99"/>
    <w:semiHidden/>
    <w:rsid w:val="00014566"/>
    <w:rPr>
      <w:sz w:val="20"/>
    </w:rPr>
  </w:style>
  <w:style w:type="character" w:customStyle="1" w:styleId="EndnoteTextChar">
    <w:name w:val="Endnote Text Char"/>
    <w:basedOn w:val="DefaultParagraphFont"/>
    <w:link w:val="EndnoteText"/>
    <w:uiPriority w:val="99"/>
    <w:semiHidden/>
    <w:rsid w:val="00014566"/>
    <w:rPr>
      <w:rFonts w:eastAsiaTheme="minorEastAsia"/>
      <w:sz w:val="20"/>
    </w:rPr>
  </w:style>
  <w:style w:type="character" w:styleId="FollowedHyperlink">
    <w:name w:val="FollowedHyperlink"/>
    <w:uiPriority w:val="99"/>
    <w:semiHidden/>
    <w:rsid w:val="00014566"/>
    <w:rPr>
      <w:color w:val="800080"/>
      <w:u w:val="single"/>
    </w:rPr>
  </w:style>
  <w:style w:type="paragraph" w:styleId="DocumentMap">
    <w:name w:val="Document Map"/>
    <w:basedOn w:val="Normal"/>
    <w:link w:val="DocumentMapChar"/>
    <w:uiPriority w:val="99"/>
    <w:semiHidden/>
    <w:rsid w:val="0001456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014566"/>
    <w:rPr>
      <w:rFonts w:ascii="Tahoma" w:eastAsiaTheme="minorEastAsia" w:hAnsi="Tahoma" w:cs="Tahoma"/>
      <w:sz w:val="20"/>
      <w:shd w:val="clear" w:color="auto" w:fill="000080"/>
    </w:rPr>
  </w:style>
  <w:style w:type="paragraph" w:customStyle="1" w:styleId="OpiH1">
    <w:name w:val="Opi_H_1"/>
    <w:basedOn w:val="ECHRHeading2"/>
    <w:uiPriority w:val="42"/>
    <w:qFormat/>
    <w:rsid w:val="006555F4"/>
    <w:pPr>
      <w:ind w:left="635" w:hanging="357"/>
      <w:outlineLvl w:val="2"/>
    </w:pPr>
  </w:style>
  <w:style w:type="paragraph" w:styleId="ListBullet">
    <w:name w:val="List Bullet"/>
    <w:basedOn w:val="Normal"/>
    <w:uiPriority w:val="99"/>
    <w:semiHidden/>
    <w:rsid w:val="00014566"/>
    <w:pPr>
      <w:numPr>
        <w:numId w:val="1"/>
      </w:numPr>
    </w:pPr>
  </w:style>
  <w:style w:type="paragraph" w:customStyle="1" w:styleId="OpiHa">
    <w:name w:val="Opi_H_a"/>
    <w:basedOn w:val="ECHRHeading3"/>
    <w:uiPriority w:val="43"/>
    <w:qFormat/>
    <w:rsid w:val="006555F4"/>
    <w:pPr>
      <w:ind w:left="833" w:hanging="357"/>
      <w:outlineLvl w:val="3"/>
    </w:pPr>
    <w:rPr>
      <w:b/>
      <w:i w:val="0"/>
      <w:sz w:val="20"/>
    </w:rPr>
  </w:style>
  <w:style w:type="paragraph" w:styleId="Subtitle">
    <w:name w:val="Subtitle"/>
    <w:basedOn w:val="Normal"/>
    <w:next w:val="Normal"/>
    <w:link w:val="SubtitleChar"/>
    <w:uiPriority w:val="99"/>
    <w:semiHidden/>
    <w:qFormat/>
    <w:rsid w:val="006555F4"/>
    <w:pPr>
      <w:spacing w:after="600"/>
    </w:pPr>
    <w:rPr>
      <w:rFonts w:asciiTheme="majorHAnsi" w:eastAsiaTheme="majorEastAsia" w:hAnsiTheme="majorHAnsi" w:cstheme="majorBidi"/>
      <w:i/>
      <w:iCs/>
      <w:spacing w:val="13"/>
      <w:szCs w:val="24"/>
      <w:lang w:bidi="en-US"/>
    </w:rPr>
  </w:style>
  <w:style w:type="character" w:customStyle="1" w:styleId="SubtitleChar">
    <w:name w:val="Subtitle Char"/>
    <w:basedOn w:val="DefaultParagraphFont"/>
    <w:link w:val="Subtitle"/>
    <w:uiPriority w:val="99"/>
    <w:semiHidden/>
    <w:rsid w:val="006555F4"/>
    <w:rPr>
      <w:rFonts w:asciiTheme="majorHAnsi" w:eastAsiaTheme="majorEastAsia" w:hAnsiTheme="majorHAnsi" w:cstheme="majorBidi"/>
      <w:i/>
      <w:iCs/>
      <w:spacing w:val="13"/>
      <w:sz w:val="24"/>
      <w:szCs w:val="24"/>
      <w:lang w:bidi="en-US"/>
    </w:rPr>
  </w:style>
  <w:style w:type="numbering" w:styleId="111111">
    <w:name w:val="Outline List 2"/>
    <w:basedOn w:val="NoList"/>
    <w:uiPriority w:val="99"/>
    <w:semiHidden/>
    <w:rsid w:val="00014566"/>
    <w:pPr>
      <w:numPr>
        <w:numId w:val="2"/>
      </w:numPr>
    </w:pPr>
  </w:style>
  <w:style w:type="numbering" w:styleId="1ai">
    <w:name w:val="Outline List 1"/>
    <w:basedOn w:val="NoList"/>
    <w:uiPriority w:val="99"/>
    <w:semiHidden/>
    <w:rsid w:val="00014566"/>
    <w:pPr>
      <w:numPr>
        <w:numId w:val="3"/>
      </w:numPr>
    </w:pPr>
  </w:style>
  <w:style w:type="numbering" w:styleId="ArticleSection">
    <w:name w:val="Outline List 3"/>
    <w:basedOn w:val="NoList"/>
    <w:uiPriority w:val="99"/>
    <w:semiHidden/>
    <w:rsid w:val="00014566"/>
    <w:pPr>
      <w:numPr>
        <w:numId w:val="4"/>
      </w:numPr>
    </w:pPr>
  </w:style>
  <w:style w:type="paragraph" w:styleId="Bibliography">
    <w:name w:val="Bibliography"/>
    <w:basedOn w:val="Normal"/>
    <w:next w:val="Normal"/>
    <w:uiPriority w:val="99"/>
    <w:semiHidden/>
    <w:unhideWhenUsed/>
    <w:rsid w:val="00014566"/>
  </w:style>
  <w:style w:type="paragraph" w:styleId="BlockText">
    <w:name w:val="Block Text"/>
    <w:basedOn w:val="Normal"/>
    <w:uiPriority w:val="99"/>
    <w:semiHidden/>
    <w:rsid w:val="00014566"/>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BodyText">
    <w:name w:val="Body Text"/>
    <w:basedOn w:val="Normal"/>
    <w:link w:val="BodyTextChar"/>
    <w:uiPriority w:val="99"/>
    <w:semiHidden/>
    <w:rsid w:val="00014566"/>
    <w:pPr>
      <w:spacing w:after="120"/>
    </w:pPr>
  </w:style>
  <w:style w:type="character" w:customStyle="1" w:styleId="BodyTextChar">
    <w:name w:val="Body Text Char"/>
    <w:basedOn w:val="DefaultParagraphFont"/>
    <w:link w:val="BodyText"/>
    <w:uiPriority w:val="99"/>
    <w:semiHidden/>
    <w:rsid w:val="00014566"/>
    <w:rPr>
      <w:rFonts w:eastAsiaTheme="minorEastAsia"/>
      <w:sz w:val="24"/>
    </w:rPr>
  </w:style>
  <w:style w:type="paragraph" w:styleId="BodyText2">
    <w:name w:val="Body Text 2"/>
    <w:basedOn w:val="Normal"/>
    <w:link w:val="BodyText2Char"/>
    <w:uiPriority w:val="99"/>
    <w:semiHidden/>
    <w:rsid w:val="00014566"/>
    <w:pPr>
      <w:spacing w:after="120" w:line="480" w:lineRule="auto"/>
    </w:pPr>
  </w:style>
  <w:style w:type="character" w:customStyle="1" w:styleId="BodyText2Char">
    <w:name w:val="Body Text 2 Char"/>
    <w:basedOn w:val="DefaultParagraphFont"/>
    <w:link w:val="BodyText2"/>
    <w:uiPriority w:val="99"/>
    <w:semiHidden/>
    <w:rsid w:val="00014566"/>
    <w:rPr>
      <w:rFonts w:eastAsiaTheme="minorEastAsia"/>
      <w:sz w:val="24"/>
    </w:rPr>
  </w:style>
  <w:style w:type="paragraph" w:styleId="BodyText3">
    <w:name w:val="Body Text 3"/>
    <w:basedOn w:val="Normal"/>
    <w:link w:val="BodyText3Char"/>
    <w:uiPriority w:val="99"/>
    <w:semiHidden/>
    <w:rsid w:val="00014566"/>
    <w:pPr>
      <w:spacing w:after="120"/>
    </w:pPr>
    <w:rPr>
      <w:sz w:val="16"/>
      <w:szCs w:val="16"/>
    </w:rPr>
  </w:style>
  <w:style w:type="character" w:customStyle="1" w:styleId="BodyText3Char">
    <w:name w:val="Body Text 3 Char"/>
    <w:basedOn w:val="DefaultParagraphFont"/>
    <w:link w:val="BodyText3"/>
    <w:uiPriority w:val="99"/>
    <w:semiHidden/>
    <w:rsid w:val="00014566"/>
    <w:rPr>
      <w:rFonts w:eastAsiaTheme="minorEastAsia"/>
      <w:sz w:val="16"/>
      <w:szCs w:val="16"/>
    </w:rPr>
  </w:style>
  <w:style w:type="paragraph" w:styleId="BodyTextFirstIndent">
    <w:name w:val="Body Text First Indent"/>
    <w:basedOn w:val="BodyText"/>
    <w:link w:val="BodyTextFirstIndentChar"/>
    <w:uiPriority w:val="99"/>
    <w:semiHidden/>
    <w:rsid w:val="00014566"/>
    <w:pPr>
      <w:spacing w:after="0"/>
      <w:ind w:firstLine="360"/>
    </w:pPr>
  </w:style>
  <w:style w:type="character" w:customStyle="1" w:styleId="BodyTextFirstIndentChar">
    <w:name w:val="Body Text First Indent Char"/>
    <w:basedOn w:val="BodyTextChar"/>
    <w:link w:val="BodyTextFirstIndent"/>
    <w:uiPriority w:val="99"/>
    <w:semiHidden/>
    <w:rsid w:val="00014566"/>
    <w:rPr>
      <w:rFonts w:eastAsiaTheme="minorEastAsia"/>
      <w:sz w:val="24"/>
    </w:rPr>
  </w:style>
  <w:style w:type="paragraph" w:styleId="BodyTextIndent">
    <w:name w:val="Body Text Indent"/>
    <w:basedOn w:val="Normal"/>
    <w:link w:val="BodyTextIndentChar"/>
    <w:uiPriority w:val="99"/>
    <w:semiHidden/>
    <w:rsid w:val="00014566"/>
    <w:pPr>
      <w:spacing w:after="120"/>
      <w:ind w:left="283"/>
    </w:pPr>
  </w:style>
  <w:style w:type="character" w:customStyle="1" w:styleId="BodyTextIndentChar">
    <w:name w:val="Body Text Indent Char"/>
    <w:basedOn w:val="DefaultParagraphFont"/>
    <w:link w:val="BodyTextIndent"/>
    <w:uiPriority w:val="99"/>
    <w:semiHidden/>
    <w:rsid w:val="00014566"/>
    <w:rPr>
      <w:rFonts w:eastAsiaTheme="minorEastAsia"/>
      <w:sz w:val="24"/>
    </w:rPr>
  </w:style>
  <w:style w:type="paragraph" w:styleId="BodyTextFirstIndent2">
    <w:name w:val="Body Text First Indent 2"/>
    <w:basedOn w:val="BodyTextIndent"/>
    <w:link w:val="BodyTextFirstIndent2Char"/>
    <w:uiPriority w:val="99"/>
    <w:semiHidden/>
    <w:rsid w:val="00014566"/>
    <w:pPr>
      <w:spacing w:after="0"/>
      <w:ind w:left="360" w:firstLine="360"/>
    </w:pPr>
  </w:style>
  <w:style w:type="character" w:customStyle="1" w:styleId="BodyTextFirstIndent2Char">
    <w:name w:val="Body Text First Indent 2 Char"/>
    <w:basedOn w:val="BodyTextIndentChar"/>
    <w:link w:val="BodyTextFirstIndent2"/>
    <w:uiPriority w:val="99"/>
    <w:semiHidden/>
    <w:rsid w:val="00014566"/>
    <w:rPr>
      <w:rFonts w:eastAsiaTheme="minorEastAsia"/>
      <w:sz w:val="24"/>
    </w:rPr>
  </w:style>
  <w:style w:type="paragraph" w:styleId="BodyTextIndent2">
    <w:name w:val="Body Text Indent 2"/>
    <w:basedOn w:val="Normal"/>
    <w:link w:val="BodyTextIndent2Char"/>
    <w:uiPriority w:val="99"/>
    <w:semiHidden/>
    <w:rsid w:val="00014566"/>
    <w:pPr>
      <w:spacing w:after="120" w:line="480" w:lineRule="auto"/>
      <w:ind w:left="283"/>
    </w:pPr>
  </w:style>
  <w:style w:type="character" w:customStyle="1" w:styleId="BodyTextIndent2Char">
    <w:name w:val="Body Text Indent 2 Char"/>
    <w:basedOn w:val="DefaultParagraphFont"/>
    <w:link w:val="BodyTextIndent2"/>
    <w:uiPriority w:val="99"/>
    <w:semiHidden/>
    <w:rsid w:val="00014566"/>
    <w:rPr>
      <w:rFonts w:eastAsiaTheme="minorEastAsia"/>
      <w:sz w:val="24"/>
    </w:rPr>
  </w:style>
  <w:style w:type="paragraph" w:styleId="BodyTextIndent3">
    <w:name w:val="Body Text Indent 3"/>
    <w:basedOn w:val="Normal"/>
    <w:link w:val="BodyTextIndent3Char"/>
    <w:uiPriority w:val="99"/>
    <w:semiHidden/>
    <w:rsid w:val="0001456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14566"/>
    <w:rPr>
      <w:rFonts w:eastAsiaTheme="minorEastAsia"/>
      <w:sz w:val="16"/>
      <w:szCs w:val="16"/>
    </w:rPr>
  </w:style>
  <w:style w:type="paragraph" w:styleId="Caption">
    <w:name w:val="caption"/>
    <w:basedOn w:val="Normal"/>
    <w:next w:val="Normal"/>
    <w:uiPriority w:val="99"/>
    <w:semiHidden/>
    <w:qFormat/>
    <w:rsid w:val="00014566"/>
    <w:pPr>
      <w:spacing w:after="200"/>
    </w:pPr>
    <w:rPr>
      <w:b/>
      <w:bCs/>
      <w:color w:val="0072BC" w:themeColor="accent1"/>
      <w:sz w:val="18"/>
      <w:szCs w:val="18"/>
    </w:rPr>
  </w:style>
  <w:style w:type="paragraph" w:styleId="Closing">
    <w:name w:val="Closing"/>
    <w:basedOn w:val="Normal"/>
    <w:link w:val="ClosingChar"/>
    <w:uiPriority w:val="99"/>
    <w:semiHidden/>
    <w:rsid w:val="00014566"/>
    <w:pPr>
      <w:ind w:left="4252"/>
    </w:pPr>
  </w:style>
  <w:style w:type="character" w:customStyle="1" w:styleId="ClosingChar">
    <w:name w:val="Closing Char"/>
    <w:basedOn w:val="DefaultParagraphFont"/>
    <w:link w:val="Closing"/>
    <w:uiPriority w:val="99"/>
    <w:semiHidden/>
    <w:rsid w:val="00014566"/>
    <w:rPr>
      <w:rFonts w:eastAsiaTheme="minorEastAsia"/>
      <w:sz w:val="24"/>
    </w:rPr>
  </w:style>
  <w:style w:type="table" w:styleId="ColorfulGrid">
    <w:name w:val="Colorful Grid"/>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014566"/>
    <w:rPr>
      <w:color w:val="000000" w:themeColor="text1"/>
      <w:lang w:val="fr-FR" w:eastAsia="fr-FR"/>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014566"/>
    <w:rPr>
      <w:color w:val="000000" w:themeColor="text1"/>
      <w:lang w:val="fr-FR" w:eastAsia="fr-FR"/>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014566"/>
    <w:rPr>
      <w:color w:val="000000" w:themeColor="text1"/>
      <w:lang w:val="fr-FR" w:eastAsia="fr-FR"/>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014566"/>
    <w:rPr>
      <w:color w:val="000000" w:themeColor="text1"/>
      <w:lang w:val="fr-FR" w:eastAsia="fr-FR"/>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014566"/>
    <w:rPr>
      <w:color w:val="000000" w:themeColor="text1"/>
      <w:lang w:val="fr-FR" w:eastAsia="fr-FR"/>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014566"/>
    <w:rPr>
      <w:color w:val="000000" w:themeColor="text1"/>
      <w:lang w:val="fr-FR" w:eastAsia="fr-FR"/>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014566"/>
    <w:rPr>
      <w:color w:val="000000" w:themeColor="text1"/>
      <w:lang w:val="fr-FR" w:eastAsia="fr-FR"/>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014566"/>
    <w:rPr>
      <w:color w:val="000000" w:themeColor="text1"/>
      <w:lang w:val="fr-FR" w:eastAsia="fr-FR"/>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014566"/>
    <w:rPr>
      <w:color w:val="000000" w:themeColor="text1"/>
      <w:lang w:val="fr-FR" w:eastAsia="fr-FR"/>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014566"/>
    <w:rPr>
      <w:color w:val="000000" w:themeColor="text1"/>
      <w:lang w:val="fr-FR" w:eastAsia="fr-FR"/>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014566"/>
    <w:rPr>
      <w:color w:val="000000" w:themeColor="text1"/>
      <w:lang w:val="fr-FR" w:eastAsia="fr-FR"/>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014566"/>
    <w:rPr>
      <w:color w:val="000000" w:themeColor="text1"/>
      <w:lang w:val="fr-FR" w:eastAsia="fr-FR"/>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014566"/>
    <w:rPr>
      <w:color w:val="000000" w:themeColor="text1"/>
      <w:lang w:val="fr-FR" w:eastAsia="fr-FR"/>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014566"/>
    <w:rPr>
      <w:color w:val="000000" w:themeColor="text1"/>
      <w:lang w:val="fr-FR" w:eastAsia="fr-FR"/>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014566"/>
    <w:rPr>
      <w:color w:val="0072BC" w:themeColor="background1"/>
      <w:lang w:val="fr-FR" w:eastAsia="fr-FR"/>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014566"/>
    <w:rPr>
      <w:color w:val="0072BC" w:themeColor="background1"/>
      <w:lang w:val="fr-FR" w:eastAsia="fr-FR"/>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014566"/>
    <w:rPr>
      <w:color w:val="0072BC" w:themeColor="background1"/>
      <w:lang w:val="fr-FR" w:eastAsia="fr-FR"/>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014566"/>
    <w:rPr>
      <w:color w:val="0072BC" w:themeColor="background1"/>
      <w:lang w:val="fr-FR" w:eastAsia="fr-FR"/>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014566"/>
    <w:rPr>
      <w:color w:val="0072BC" w:themeColor="background1"/>
      <w:lang w:val="fr-FR" w:eastAsia="fr-FR"/>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014566"/>
    <w:rPr>
      <w:color w:val="0072BC" w:themeColor="background1"/>
      <w:lang w:val="fr-FR" w:eastAsia="fr-FR"/>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014566"/>
    <w:rPr>
      <w:color w:val="0072BC" w:themeColor="background1"/>
      <w:lang w:val="fr-FR" w:eastAsia="fr-FR"/>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014566"/>
  </w:style>
  <w:style w:type="character" w:customStyle="1" w:styleId="DateChar">
    <w:name w:val="Date Char"/>
    <w:basedOn w:val="DefaultParagraphFont"/>
    <w:link w:val="Date"/>
    <w:uiPriority w:val="99"/>
    <w:semiHidden/>
    <w:rsid w:val="00014566"/>
    <w:rPr>
      <w:rFonts w:eastAsiaTheme="minorEastAsia"/>
      <w:sz w:val="24"/>
    </w:rPr>
  </w:style>
  <w:style w:type="paragraph" w:styleId="E-mailSignature">
    <w:name w:val="E-mail Signature"/>
    <w:basedOn w:val="Normal"/>
    <w:link w:val="E-mailSignatureChar"/>
    <w:uiPriority w:val="99"/>
    <w:semiHidden/>
    <w:rsid w:val="00014566"/>
  </w:style>
  <w:style w:type="character" w:customStyle="1" w:styleId="E-mailSignatureChar">
    <w:name w:val="E-mail Signature Char"/>
    <w:basedOn w:val="DefaultParagraphFont"/>
    <w:link w:val="E-mailSignature"/>
    <w:uiPriority w:val="99"/>
    <w:semiHidden/>
    <w:rsid w:val="00014566"/>
    <w:rPr>
      <w:rFonts w:eastAsiaTheme="minorEastAsia"/>
      <w:sz w:val="24"/>
    </w:rPr>
  </w:style>
  <w:style w:type="paragraph" w:styleId="EnvelopeAddress">
    <w:name w:val="envelope address"/>
    <w:basedOn w:val="Normal"/>
    <w:uiPriority w:val="99"/>
    <w:semiHidden/>
    <w:rsid w:val="00014566"/>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014566"/>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014566"/>
  </w:style>
  <w:style w:type="paragraph" w:styleId="HTMLAddress">
    <w:name w:val="HTML Address"/>
    <w:basedOn w:val="Normal"/>
    <w:link w:val="HTMLAddressChar"/>
    <w:uiPriority w:val="99"/>
    <w:semiHidden/>
    <w:rsid w:val="00014566"/>
    <w:rPr>
      <w:i/>
      <w:iCs/>
    </w:rPr>
  </w:style>
  <w:style w:type="character" w:customStyle="1" w:styleId="HTMLAddressChar">
    <w:name w:val="HTML Address Char"/>
    <w:basedOn w:val="DefaultParagraphFont"/>
    <w:link w:val="HTMLAddress"/>
    <w:uiPriority w:val="99"/>
    <w:semiHidden/>
    <w:rsid w:val="00014566"/>
    <w:rPr>
      <w:rFonts w:eastAsiaTheme="minorEastAsia"/>
      <w:i/>
      <w:iCs/>
      <w:sz w:val="24"/>
    </w:rPr>
  </w:style>
  <w:style w:type="character" w:styleId="HTMLCite">
    <w:name w:val="HTML Cite"/>
    <w:basedOn w:val="DefaultParagraphFont"/>
    <w:uiPriority w:val="99"/>
    <w:semiHidden/>
    <w:rsid w:val="00014566"/>
    <w:rPr>
      <w:i/>
      <w:iCs/>
    </w:rPr>
  </w:style>
  <w:style w:type="character" w:styleId="HTMLCode">
    <w:name w:val="HTML Code"/>
    <w:basedOn w:val="DefaultParagraphFont"/>
    <w:uiPriority w:val="99"/>
    <w:semiHidden/>
    <w:rsid w:val="00014566"/>
    <w:rPr>
      <w:rFonts w:ascii="Consolas" w:hAnsi="Consolas" w:cs="Consolas"/>
      <w:sz w:val="20"/>
      <w:szCs w:val="20"/>
    </w:rPr>
  </w:style>
  <w:style w:type="character" w:styleId="HTMLDefinition">
    <w:name w:val="HTML Definition"/>
    <w:basedOn w:val="DefaultParagraphFont"/>
    <w:uiPriority w:val="99"/>
    <w:semiHidden/>
    <w:rsid w:val="00014566"/>
    <w:rPr>
      <w:i/>
      <w:iCs/>
    </w:rPr>
  </w:style>
  <w:style w:type="character" w:styleId="HTMLKeyboard">
    <w:name w:val="HTML Keyboard"/>
    <w:basedOn w:val="DefaultParagraphFont"/>
    <w:uiPriority w:val="99"/>
    <w:semiHidden/>
    <w:rsid w:val="00014566"/>
    <w:rPr>
      <w:rFonts w:ascii="Consolas" w:hAnsi="Consolas" w:cs="Consolas"/>
      <w:sz w:val="20"/>
      <w:szCs w:val="20"/>
    </w:rPr>
  </w:style>
  <w:style w:type="paragraph" w:styleId="HTMLPreformatted">
    <w:name w:val="HTML Preformatted"/>
    <w:basedOn w:val="Normal"/>
    <w:link w:val="HTMLPreformattedChar"/>
    <w:uiPriority w:val="99"/>
    <w:semiHidden/>
    <w:rsid w:val="0001456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14566"/>
    <w:rPr>
      <w:rFonts w:ascii="Consolas" w:eastAsiaTheme="minorEastAsia" w:hAnsi="Consolas" w:cs="Consolas"/>
      <w:sz w:val="20"/>
      <w:szCs w:val="20"/>
    </w:rPr>
  </w:style>
  <w:style w:type="character" w:styleId="HTMLSample">
    <w:name w:val="HTML Sample"/>
    <w:basedOn w:val="DefaultParagraphFont"/>
    <w:uiPriority w:val="99"/>
    <w:semiHidden/>
    <w:rsid w:val="00014566"/>
    <w:rPr>
      <w:rFonts w:ascii="Consolas" w:hAnsi="Consolas" w:cs="Consolas"/>
      <w:sz w:val="24"/>
      <w:szCs w:val="24"/>
    </w:rPr>
  </w:style>
  <w:style w:type="character" w:styleId="HTMLTypewriter">
    <w:name w:val="HTML Typewriter"/>
    <w:basedOn w:val="DefaultParagraphFont"/>
    <w:uiPriority w:val="99"/>
    <w:semiHidden/>
    <w:rsid w:val="00014566"/>
    <w:rPr>
      <w:rFonts w:ascii="Consolas" w:hAnsi="Consolas" w:cs="Consolas"/>
      <w:sz w:val="20"/>
      <w:szCs w:val="20"/>
    </w:rPr>
  </w:style>
  <w:style w:type="character" w:styleId="HTMLVariable">
    <w:name w:val="HTML Variable"/>
    <w:basedOn w:val="DefaultParagraphFont"/>
    <w:uiPriority w:val="99"/>
    <w:semiHidden/>
    <w:rsid w:val="00014566"/>
    <w:rPr>
      <w:i/>
      <w:iCs/>
    </w:rPr>
  </w:style>
  <w:style w:type="paragraph" w:styleId="Index1">
    <w:name w:val="index 1"/>
    <w:basedOn w:val="Normal"/>
    <w:next w:val="Normal"/>
    <w:autoRedefine/>
    <w:uiPriority w:val="99"/>
    <w:semiHidden/>
    <w:rsid w:val="00014566"/>
    <w:pPr>
      <w:ind w:left="240" w:hanging="240"/>
    </w:pPr>
  </w:style>
  <w:style w:type="paragraph" w:styleId="Index2">
    <w:name w:val="index 2"/>
    <w:basedOn w:val="Normal"/>
    <w:next w:val="Normal"/>
    <w:autoRedefine/>
    <w:uiPriority w:val="99"/>
    <w:semiHidden/>
    <w:rsid w:val="00014566"/>
    <w:pPr>
      <w:ind w:left="480" w:hanging="240"/>
    </w:pPr>
  </w:style>
  <w:style w:type="paragraph" w:styleId="Index3">
    <w:name w:val="index 3"/>
    <w:basedOn w:val="Normal"/>
    <w:next w:val="Normal"/>
    <w:autoRedefine/>
    <w:uiPriority w:val="99"/>
    <w:semiHidden/>
    <w:rsid w:val="00014566"/>
    <w:pPr>
      <w:ind w:left="720" w:hanging="240"/>
    </w:pPr>
  </w:style>
  <w:style w:type="paragraph" w:styleId="Index4">
    <w:name w:val="index 4"/>
    <w:basedOn w:val="Normal"/>
    <w:next w:val="Normal"/>
    <w:autoRedefine/>
    <w:uiPriority w:val="99"/>
    <w:semiHidden/>
    <w:rsid w:val="00014566"/>
    <w:pPr>
      <w:ind w:left="960" w:hanging="240"/>
    </w:pPr>
  </w:style>
  <w:style w:type="paragraph" w:styleId="Index5">
    <w:name w:val="index 5"/>
    <w:basedOn w:val="Normal"/>
    <w:next w:val="Normal"/>
    <w:autoRedefine/>
    <w:uiPriority w:val="99"/>
    <w:semiHidden/>
    <w:rsid w:val="00014566"/>
    <w:pPr>
      <w:ind w:left="1200" w:hanging="240"/>
    </w:pPr>
  </w:style>
  <w:style w:type="paragraph" w:styleId="Index6">
    <w:name w:val="index 6"/>
    <w:basedOn w:val="Normal"/>
    <w:next w:val="Normal"/>
    <w:autoRedefine/>
    <w:uiPriority w:val="99"/>
    <w:semiHidden/>
    <w:rsid w:val="00014566"/>
    <w:pPr>
      <w:ind w:left="1440" w:hanging="240"/>
    </w:pPr>
  </w:style>
  <w:style w:type="paragraph" w:styleId="Index7">
    <w:name w:val="index 7"/>
    <w:basedOn w:val="Normal"/>
    <w:next w:val="Normal"/>
    <w:autoRedefine/>
    <w:uiPriority w:val="99"/>
    <w:semiHidden/>
    <w:rsid w:val="00014566"/>
    <w:pPr>
      <w:ind w:left="1680" w:hanging="240"/>
    </w:pPr>
  </w:style>
  <w:style w:type="paragraph" w:styleId="Index8">
    <w:name w:val="index 8"/>
    <w:basedOn w:val="Normal"/>
    <w:next w:val="Normal"/>
    <w:autoRedefine/>
    <w:uiPriority w:val="99"/>
    <w:semiHidden/>
    <w:rsid w:val="00014566"/>
    <w:pPr>
      <w:ind w:left="1920" w:hanging="240"/>
    </w:pPr>
  </w:style>
  <w:style w:type="paragraph" w:styleId="Index9">
    <w:name w:val="index 9"/>
    <w:basedOn w:val="Normal"/>
    <w:next w:val="Normal"/>
    <w:autoRedefine/>
    <w:uiPriority w:val="99"/>
    <w:semiHidden/>
    <w:rsid w:val="00014566"/>
    <w:pPr>
      <w:ind w:left="2160" w:hanging="240"/>
    </w:pPr>
  </w:style>
  <w:style w:type="paragraph" w:styleId="IndexHeading">
    <w:name w:val="index heading"/>
    <w:basedOn w:val="Normal"/>
    <w:next w:val="Index1"/>
    <w:uiPriority w:val="99"/>
    <w:semiHidden/>
    <w:rsid w:val="00014566"/>
    <w:rPr>
      <w:rFonts w:asciiTheme="majorHAnsi" w:eastAsiaTheme="majorEastAsia" w:hAnsiTheme="majorHAnsi" w:cstheme="majorBidi"/>
      <w:b/>
      <w:bCs/>
    </w:rPr>
  </w:style>
  <w:style w:type="table" w:styleId="LightGrid">
    <w:name w:val="Light Grid"/>
    <w:basedOn w:val="TableNormal"/>
    <w:uiPriority w:val="99"/>
    <w:semiHidden/>
    <w:rsid w:val="00014566"/>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014566"/>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014566"/>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014566"/>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014566"/>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014566"/>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014566"/>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014566"/>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014566"/>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014566"/>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014566"/>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014566"/>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014566"/>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014566"/>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014566"/>
    <w:rPr>
      <w:color w:val="000000" w:themeColor="text1" w:themeShade="BF"/>
      <w:lang w:val="fr-FR"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014566"/>
    <w:rPr>
      <w:color w:val="00548C" w:themeColor="accent1" w:themeShade="BF"/>
      <w:lang w:val="fr-FR" w:eastAsia="fr-FR"/>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014566"/>
    <w:rPr>
      <w:color w:val="8F0000" w:themeColor="accent2" w:themeShade="BF"/>
      <w:lang w:val="fr-FR" w:eastAsia="fr-FR"/>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014566"/>
    <w:rPr>
      <w:color w:val="474747" w:themeColor="accent3" w:themeShade="BF"/>
      <w:lang w:val="fr-FR" w:eastAsia="fr-FR"/>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014566"/>
    <w:rPr>
      <w:color w:val="707070" w:themeColor="accent4" w:themeShade="BF"/>
      <w:lang w:val="fr-FR" w:eastAsia="fr-FR"/>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014566"/>
    <w:rPr>
      <w:color w:val="474747" w:themeColor="accent5" w:themeShade="BF"/>
      <w:lang w:val="fr-FR" w:eastAsia="fr-FR"/>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014566"/>
    <w:rPr>
      <w:color w:val="393939" w:themeColor="accent6" w:themeShade="BF"/>
      <w:lang w:val="fr-FR" w:eastAsia="fr-FR"/>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014566"/>
  </w:style>
  <w:style w:type="paragraph" w:styleId="List">
    <w:name w:val="List"/>
    <w:basedOn w:val="Normal"/>
    <w:uiPriority w:val="99"/>
    <w:semiHidden/>
    <w:rsid w:val="00014566"/>
    <w:pPr>
      <w:ind w:left="283" w:hanging="283"/>
      <w:contextualSpacing/>
    </w:pPr>
  </w:style>
  <w:style w:type="paragraph" w:styleId="List2">
    <w:name w:val="List 2"/>
    <w:basedOn w:val="Normal"/>
    <w:uiPriority w:val="99"/>
    <w:semiHidden/>
    <w:rsid w:val="00014566"/>
    <w:pPr>
      <w:ind w:left="566" w:hanging="283"/>
      <w:contextualSpacing/>
    </w:pPr>
  </w:style>
  <w:style w:type="paragraph" w:styleId="List3">
    <w:name w:val="List 3"/>
    <w:basedOn w:val="Normal"/>
    <w:uiPriority w:val="99"/>
    <w:semiHidden/>
    <w:rsid w:val="00014566"/>
    <w:pPr>
      <w:ind w:left="849" w:hanging="283"/>
      <w:contextualSpacing/>
    </w:pPr>
  </w:style>
  <w:style w:type="paragraph" w:styleId="List4">
    <w:name w:val="List 4"/>
    <w:basedOn w:val="Normal"/>
    <w:uiPriority w:val="99"/>
    <w:semiHidden/>
    <w:rsid w:val="00014566"/>
    <w:pPr>
      <w:ind w:left="1132" w:hanging="283"/>
      <w:contextualSpacing/>
    </w:pPr>
  </w:style>
  <w:style w:type="paragraph" w:styleId="List5">
    <w:name w:val="List 5"/>
    <w:basedOn w:val="Normal"/>
    <w:uiPriority w:val="99"/>
    <w:semiHidden/>
    <w:rsid w:val="00014566"/>
    <w:pPr>
      <w:ind w:left="1415" w:hanging="283"/>
      <w:contextualSpacing/>
    </w:pPr>
  </w:style>
  <w:style w:type="paragraph" w:styleId="ListBullet2">
    <w:name w:val="List Bullet 2"/>
    <w:basedOn w:val="Normal"/>
    <w:uiPriority w:val="99"/>
    <w:semiHidden/>
    <w:rsid w:val="00014566"/>
    <w:pPr>
      <w:numPr>
        <w:numId w:val="5"/>
      </w:numPr>
      <w:contextualSpacing/>
    </w:pPr>
  </w:style>
  <w:style w:type="paragraph" w:styleId="ListBullet3">
    <w:name w:val="List Bullet 3"/>
    <w:basedOn w:val="Normal"/>
    <w:uiPriority w:val="99"/>
    <w:semiHidden/>
    <w:rsid w:val="00014566"/>
    <w:pPr>
      <w:numPr>
        <w:numId w:val="6"/>
      </w:numPr>
      <w:contextualSpacing/>
    </w:pPr>
  </w:style>
  <w:style w:type="paragraph" w:styleId="ListBullet4">
    <w:name w:val="List Bullet 4"/>
    <w:basedOn w:val="Normal"/>
    <w:uiPriority w:val="99"/>
    <w:semiHidden/>
    <w:rsid w:val="00014566"/>
    <w:pPr>
      <w:numPr>
        <w:numId w:val="7"/>
      </w:numPr>
      <w:contextualSpacing/>
    </w:pPr>
  </w:style>
  <w:style w:type="paragraph" w:styleId="ListBullet5">
    <w:name w:val="List Bullet 5"/>
    <w:basedOn w:val="Normal"/>
    <w:uiPriority w:val="99"/>
    <w:semiHidden/>
    <w:rsid w:val="00014566"/>
    <w:pPr>
      <w:numPr>
        <w:numId w:val="8"/>
      </w:numPr>
      <w:contextualSpacing/>
    </w:pPr>
  </w:style>
  <w:style w:type="paragraph" w:styleId="ListContinue">
    <w:name w:val="List Continue"/>
    <w:basedOn w:val="Normal"/>
    <w:uiPriority w:val="99"/>
    <w:semiHidden/>
    <w:rsid w:val="00014566"/>
    <w:pPr>
      <w:spacing w:after="120"/>
      <w:ind w:left="283"/>
      <w:contextualSpacing/>
    </w:pPr>
  </w:style>
  <w:style w:type="paragraph" w:styleId="ListContinue2">
    <w:name w:val="List Continue 2"/>
    <w:basedOn w:val="Normal"/>
    <w:uiPriority w:val="99"/>
    <w:semiHidden/>
    <w:rsid w:val="00014566"/>
    <w:pPr>
      <w:spacing w:after="120"/>
      <w:ind w:left="566"/>
      <w:contextualSpacing/>
    </w:pPr>
  </w:style>
  <w:style w:type="paragraph" w:styleId="ListContinue3">
    <w:name w:val="List Continue 3"/>
    <w:basedOn w:val="Normal"/>
    <w:uiPriority w:val="99"/>
    <w:semiHidden/>
    <w:rsid w:val="00014566"/>
    <w:pPr>
      <w:spacing w:after="120"/>
      <w:ind w:left="849"/>
      <w:contextualSpacing/>
    </w:pPr>
  </w:style>
  <w:style w:type="paragraph" w:styleId="ListContinue4">
    <w:name w:val="List Continue 4"/>
    <w:basedOn w:val="Normal"/>
    <w:uiPriority w:val="99"/>
    <w:semiHidden/>
    <w:rsid w:val="00014566"/>
    <w:pPr>
      <w:spacing w:after="120"/>
      <w:ind w:left="1132"/>
      <w:contextualSpacing/>
    </w:pPr>
  </w:style>
  <w:style w:type="paragraph" w:styleId="ListContinue5">
    <w:name w:val="List Continue 5"/>
    <w:basedOn w:val="Normal"/>
    <w:uiPriority w:val="99"/>
    <w:semiHidden/>
    <w:rsid w:val="00014566"/>
    <w:pPr>
      <w:spacing w:after="120"/>
      <w:ind w:left="1415"/>
      <w:contextualSpacing/>
    </w:pPr>
  </w:style>
  <w:style w:type="paragraph" w:styleId="ListNumber">
    <w:name w:val="List Number"/>
    <w:basedOn w:val="Normal"/>
    <w:uiPriority w:val="99"/>
    <w:semiHidden/>
    <w:rsid w:val="00014566"/>
    <w:pPr>
      <w:numPr>
        <w:numId w:val="9"/>
      </w:numPr>
      <w:contextualSpacing/>
    </w:pPr>
  </w:style>
  <w:style w:type="paragraph" w:styleId="ListNumber2">
    <w:name w:val="List Number 2"/>
    <w:basedOn w:val="Normal"/>
    <w:uiPriority w:val="99"/>
    <w:semiHidden/>
    <w:rsid w:val="00014566"/>
    <w:pPr>
      <w:numPr>
        <w:numId w:val="10"/>
      </w:numPr>
      <w:contextualSpacing/>
    </w:pPr>
  </w:style>
  <w:style w:type="paragraph" w:styleId="ListNumber3">
    <w:name w:val="List Number 3"/>
    <w:basedOn w:val="Normal"/>
    <w:uiPriority w:val="99"/>
    <w:semiHidden/>
    <w:rsid w:val="00014566"/>
    <w:pPr>
      <w:numPr>
        <w:numId w:val="11"/>
      </w:numPr>
      <w:contextualSpacing/>
    </w:pPr>
  </w:style>
  <w:style w:type="paragraph" w:styleId="ListNumber4">
    <w:name w:val="List Number 4"/>
    <w:basedOn w:val="Normal"/>
    <w:uiPriority w:val="99"/>
    <w:semiHidden/>
    <w:rsid w:val="00014566"/>
    <w:pPr>
      <w:numPr>
        <w:numId w:val="12"/>
      </w:numPr>
      <w:contextualSpacing/>
    </w:pPr>
  </w:style>
  <w:style w:type="paragraph" w:styleId="ListNumber5">
    <w:name w:val="List Number 5"/>
    <w:basedOn w:val="Normal"/>
    <w:uiPriority w:val="99"/>
    <w:semiHidden/>
    <w:rsid w:val="00014566"/>
    <w:pPr>
      <w:numPr>
        <w:numId w:val="13"/>
      </w:numPr>
      <w:contextualSpacing/>
    </w:pPr>
  </w:style>
  <w:style w:type="paragraph" w:styleId="MacroText">
    <w:name w:val="macro"/>
    <w:link w:val="MacroTextChar"/>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lang w:val="en-GB" w:eastAsia="fr-FR"/>
    </w:rPr>
  </w:style>
  <w:style w:type="character" w:customStyle="1" w:styleId="MacroTextChar">
    <w:name w:val="Macro Text Char"/>
    <w:basedOn w:val="DefaultParagraphFont"/>
    <w:link w:val="MacroText"/>
    <w:uiPriority w:val="99"/>
    <w:semiHidden/>
    <w:rsid w:val="00014566"/>
    <w:rPr>
      <w:rFonts w:ascii="Consolas" w:hAnsi="Consolas" w:cs="Consolas"/>
      <w:sz w:val="20"/>
      <w:szCs w:val="20"/>
      <w:lang w:val="en-GB" w:eastAsia="fr-FR"/>
    </w:rPr>
  </w:style>
  <w:style w:type="table" w:styleId="MediumGrid1">
    <w:name w:val="Medium Grid 1"/>
    <w:basedOn w:val="TableNormal"/>
    <w:uiPriority w:val="99"/>
    <w:semiHidden/>
    <w:rsid w:val="00014566"/>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014566"/>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014566"/>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014566"/>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014566"/>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014566"/>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014566"/>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014566"/>
    <w:rPr>
      <w:color w:val="000000" w:themeColor="text1"/>
      <w:lang w:val="fr-FR" w:eastAsia="fr-F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014566"/>
    <w:rPr>
      <w:color w:val="000000" w:themeColor="text1"/>
      <w:lang w:val="fr-FR" w:eastAsia="fr-FR"/>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014566"/>
    <w:rPr>
      <w:color w:val="000000" w:themeColor="text1"/>
      <w:lang w:val="fr-FR" w:eastAsia="fr-FR"/>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014566"/>
    <w:rPr>
      <w:color w:val="000000" w:themeColor="text1"/>
      <w:lang w:val="fr-FR" w:eastAsia="fr-FR"/>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014566"/>
    <w:rPr>
      <w:color w:val="000000" w:themeColor="text1"/>
      <w:lang w:val="fr-FR" w:eastAsia="fr-FR"/>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014566"/>
    <w:rPr>
      <w:color w:val="000000" w:themeColor="text1"/>
      <w:lang w:val="fr-FR" w:eastAsia="fr-FR"/>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014566"/>
    <w:rPr>
      <w:color w:val="000000" w:themeColor="text1"/>
      <w:lang w:val="fr-FR" w:eastAsia="fr-FR"/>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014566"/>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014566"/>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014566"/>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014566"/>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014566"/>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014566"/>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014566"/>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014566"/>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014566"/>
    <w:rPr>
      <w:rFonts w:ascii="Times New Roman" w:hAnsi="Times New Roman" w:cs="Times New Roman"/>
      <w:szCs w:val="24"/>
    </w:rPr>
  </w:style>
  <w:style w:type="paragraph" w:styleId="NormalIndent">
    <w:name w:val="Normal Indent"/>
    <w:basedOn w:val="Normal"/>
    <w:uiPriority w:val="99"/>
    <w:semiHidden/>
    <w:rsid w:val="00014566"/>
    <w:pPr>
      <w:ind w:left="720"/>
    </w:pPr>
  </w:style>
  <w:style w:type="paragraph" w:styleId="NoteHeading">
    <w:name w:val="Note Heading"/>
    <w:basedOn w:val="Normal"/>
    <w:next w:val="Normal"/>
    <w:link w:val="NoteHeadingChar"/>
    <w:uiPriority w:val="99"/>
    <w:semiHidden/>
    <w:rsid w:val="00014566"/>
  </w:style>
  <w:style w:type="character" w:customStyle="1" w:styleId="NoteHeadingChar">
    <w:name w:val="Note Heading Char"/>
    <w:basedOn w:val="DefaultParagraphFont"/>
    <w:link w:val="NoteHeading"/>
    <w:uiPriority w:val="99"/>
    <w:semiHidden/>
    <w:rsid w:val="00014566"/>
    <w:rPr>
      <w:rFonts w:eastAsiaTheme="minorEastAsia"/>
      <w:sz w:val="24"/>
    </w:rPr>
  </w:style>
  <w:style w:type="character" w:styleId="PlaceholderText">
    <w:name w:val="Placeholder Text"/>
    <w:basedOn w:val="DefaultParagraphFont"/>
    <w:uiPriority w:val="99"/>
    <w:semiHidden/>
    <w:rsid w:val="006555F4"/>
    <w:rPr>
      <w:color w:val="auto"/>
      <w:bdr w:val="none" w:sz="0" w:space="0" w:color="auto"/>
      <w:shd w:val="clear" w:color="auto" w:fill="DFDFDF" w:themeFill="background2" w:themeFillShade="E6"/>
    </w:rPr>
  </w:style>
  <w:style w:type="paragraph" w:styleId="PlainText">
    <w:name w:val="Plain Text"/>
    <w:basedOn w:val="Normal"/>
    <w:link w:val="PlainTextChar"/>
    <w:uiPriority w:val="99"/>
    <w:semiHidden/>
    <w:rsid w:val="00014566"/>
    <w:rPr>
      <w:rFonts w:ascii="Consolas" w:hAnsi="Consolas" w:cs="Consolas"/>
      <w:sz w:val="21"/>
      <w:szCs w:val="21"/>
    </w:rPr>
  </w:style>
  <w:style w:type="character" w:customStyle="1" w:styleId="PlainTextChar">
    <w:name w:val="Plain Text Char"/>
    <w:basedOn w:val="DefaultParagraphFont"/>
    <w:link w:val="PlainText"/>
    <w:uiPriority w:val="99"/>
    <w:semiHidden/>
    <w:rsid w:val="00014566"/>
    <w:rPr>
      <w:rFonts w:ascii="Consolas" w:eastAsiaTheme="minorEastAsia" w:hAnsi="Consolas" w:cs="Consolas"/>
      <w:sz w:val="21"/>
      <w:szCs w:val="21"/>
    </w:rPr>
  </w:style>
  <w:style w:type="paragraph" w:styleId="Salutation">
    <w:name w:val="Salutation"/>
    <w:basedOn w:val="Normal"/>
    <w:next w:val="Normal"/>
    <w:link w:val="SalutationChar"/>
    <w:uiPriority w:val="99"/>
    <w:semiHidden/>
    <w:rsid w:val="00014566"/>
  </w:style>
  <w:style w:type="character" w:customStyle="1" w:styleId="SalutationChar">
    <w:name w:val="Salutation Char"/>
    <w:basedOn w:val="DefaultParagraphFont"/>
    <w:link w:val="Salutation"/>
    <w:uiPriority w:val="99"/>
    <w:semiHidden/>
    <w:rsid w:val="00014566"/>
    <w:rPr>
      <w:rFonts w:eastAsiaTheme="minorEastAsia"/>
      <w:sz w:val="24"/>
    </w:rPr>
  </w:style>
  <w:style w:type="paragraph" w:styleId="Signature">
    <w:name w:val="Signature"/>
    <w:basedOn w:val="Normal"/>
    <w:link w:val="SignatureChar"/>
    <w:uiPriority w:val="99"/>
    <w:semiHidden/>
    <w:rsid w:val="00014566"/>
    <w:pPr>
      <w:ind w:left="4252"/>
    </w:pPr>
  </w:style>
  <w:style w:type="character" w:customStyle="1" w:styleId="SignatureChar">
    <w:name w:val="Signature Char"/>
    <w:basedOn w:val="DefaultParagraphFont"/>
    <w:link w:val="Signature"/>
    <w:uiPriority w:val="99"/>
    <w:semiHidden/>
    <w:rsid w:val="00014566"/>
    <w:rPr>
      <w:rFonts w:eastAsiaTheme="minorEastAsia"/>
      <w:sz w:val="24"/>
    </w:rPr>
  </w:style>
  <w:style w:type="table" w:styleId="Table3Deffects1">
    <w:name w:val="Table 3D effects 1"/>
    <w:basedOn w:val="TableNormal"/>
    <w:uiPriority w:val="99"/>
    <w:semiHidden/>
    <w:rsid w:val="00014566"/>
    <w:pPr>
      <w:suppressAutoHyphens/>
    </w:pPr>
    <w:rPr>
      <w:lang w:val="fr-FR"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14566"/>
    <w:pPr>
      <w:suppressAutoHyphens/>
    </w:pPr>
    <w:rPr>
      <w:lang w:val="fr-FR"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14566"/>
    <w:pPr>
      <w:suppressAutoHyphens/>
    </w:pPr>
    <w:rPr>
      <w:lang w:val="fr-FR"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14566"/>
    <w:pPr>
      <w:suppressAutoHyphens/>
    </w:pPr>
    <w:rPr>
      <w:lang w:val="fr-FR"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14566"/>
    <w:pPr>
      <w:suppressAutoHyphens/>
    </w:pPr>
    <w:rPr>
      <w:lang w:val="fr-FR"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14566"/>
    <w:pPr>
      <w:suppressAutoHyphens/>
    </w:pPr>
    <w:rPr>
      <w:color w:val="000080"/>
      <w:lang w:val="fr-FR"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14566"/>
    <w:pPr>
      <w:suppressAutoHyphens/>
    </w:pPr>
    <w:rPr>
      <w:lang w:val="fr-FR"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14566"/>
    <w:pPr>
      <w:suppressAutoHyphens/>
    </w:pPr>
    <w:rPr>
      <w:color w:val="FFFFFF"/>
      <w:lang w:val="fr-FR"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14566"/>
    <w:pPr>
      <w:suppressAutoHyphens/>
    </w:pPr>
    <w:rPr>
      <w:lang w:val="fr-FR"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14566"/>
    <w:pPr>
      <w:suppressAutoHyphens/>
    </w:pPr>
    <w:rPr>
      <w:lang w:val="fr-FR"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14566"/>
    <w:pPr>
      <w:suppressAutoHyphens/>
    </w:pPr>
    <w:rPr>
      <w:b/>
      <w:bCs/>
      <w:lang w:val="fr-FR"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14566"/>
    <w:pPr>
      <w:suppressAutoHyphens/>
    </w:pPr>
    <w:rPr>
      <w:b/>
      <w:bCs/>
      <w:lang w:val="fr-FR"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14566"/>
    <w:pPr>
      <w:suppressAutoHyphens/>
    </w:pPr>
    <w:rPr>
      <w:b/>
      <w:bCs/>
      <w:lang w:val="fr-FR"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14566"/>
    <w:pPr>
      <w:suppressAutoHyphens/>
    </w:pPr>
    <w:rPr>
      <w:lang w:val="fr-FR"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014566"/>
    <w:pPr>
      <w:suppressAutoHyphens/>
    </w:pPr>
    <w:rPr>
      <w:lang w:val="fr-FR"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014566"/>
    <w:pPr>
      <w:suppressAutoHyphens/>
    </w:pPr>
    <w:rPr>
      <w:lang w:val="fr-FR"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14566"/>
    <w:pPr>
      <w:suppressAutoHyphens/>
    </w:pPr>
    <w:rPr>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14566"/>
    <w:pPr>
      <w:suppressAutoHyphens/>
    </w:pPr>
    <w:rPr>
      <w:lang w:val="fr-FR"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14566"/>
    <w:pPr>
      <w:suppressAutoHyphens/>
    </w:pPr>
    <w:rPr>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14566"/>
    <w:pPr>
      <w:suppressAutoHyphens/>
    </w:pPr>
    <w:rPr>
      <w:lang w:val="fr-FR"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014566"/>
    <w:pPr>
      <w:suppressAutoHyphens/>
    </w:pPr>
    <w:rPr>
      <w:b/>
      <w:bCs/>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014566"/>
    <w:pPr>
      <w:suppressAutoHyphens/>
    </w:pPr>
    <w:rPr>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14566"/>
    <w:pPr>
      <w:suppressAutoHyphens/>
    </w:pPr>
    <w:rPr>
      <w:lang w:val="fr-FR"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14566"/>
    <w:pPr>
      <w:suppressAutoHyphens/>
    </w:pPr>
    <w:rPr>
      <w:lang w:val="fr-FR"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14566"/>
    <w:pPr>
      <w:suppressAutoHyphens/>
    </w:pPr>
    <w:rPr>
      <w:lang w:val="fr-FR"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14566"/>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14566"/>
    <w:pPr>
      <w:suppressAutoHyphens/>
    </w:pPr>
    <w:rPr>
      <w:lang w:val="fr-FR"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14566"/>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014566"/>
    <w:pPr>
      <w:ind w:left="240" w:hanging="240"/>
    </w:pPr>
  </w:style>
  <w:style w:type="paragraph" w:styleId="TableofFigures">
    <w:name w:val="table of figures"/>
    <w:basedOn w:val="Normal"/>
    <w:next w:val="Normal"/>
    <w:uiPriority w:val="99"/>
    <w:semiHidden/>
    <w:rsid w:val="00014566"/>
  </w:style>
  <w:style w:type="table" w:styleId="TableProfessional">
    <w:name w:val="Table Professional"/>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14566"/>
    <w:pPr>
      <w:suppressAutoHyphens/>
    </w:pPr>
    <w:rPr>
      <w:lang w:val="fr-FR"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14566"/>
    <w:pPr>
      <w:suppressAutoHyphens/>
    </w:pPr>
    <w:rPr>
      <w:lang w:val="fr-FR"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14566"/>
    <w:pPr>
      <w:suppressAutoHyphens/>
    </w:pPr>
    <w:rPr>
      <w:lang w:val="fr-FR"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14566"/>
    <w:pPr>
      <w:suppressAutoHyphens/>
    </w:pPr>
    <w:rPr>
      <w:lang w:val="fr-FR"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14566"/>
    <w:pPr>
      <w:suppressAutoHyphens/>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014566"/>
    <w:pPr>
      <w:suppressAutoHyphens/>
    </w:pPr>
    <w:rPr>
      <w:lang w:val="fr-FR"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14566"/>
    <w:pPr>
      <w:suppressAutoHyphens/>
    </w:pPr>
    <w:rPr>
      <w:lang w:val="fr-FR"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14566"/>
    <w:pPr>
      <w:suppressAutoHyphens/>
    </w:pPr>
    <w:rPr>
      <w:lang w:val="fr-FR"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6555F4"/>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9"/>
    <w:semiHidden/>
    <w:rsid w:val="006555F4"/>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9"/>
    <w:semiHidden/>
    <w:rsid w:val="00014566"/>
    <w:pPr>
      <w:spacing w:after="100"/>
      <w:ind w:left="1680"/>
    </w:pPr>
  </w:style>
  <w:style w:type="paragraph" w:styleId="TOC9">
    <w:name w:val="toc 9"/>
    <w:basedOn w:val="Normal"/>
    <w:next w:val="Normal"/>
    <w:autoRedefine/>
    <w:uiPriority w:val="99"/>
    <w:semiHidden/>
    <w:rsid w:val="00014566"/>
    <w:pPr>
      <w:spacing w:after="100"/>
      <w:ind w:left="1920"/>
    </w:pPr>
  </w:style>
  <w:style w:type="paragraph" w:customStyle="1" w:styleId="OpiHA0">
    <w:name w:val="Opi_H_A"/>
    <w:basedOn w:val="ECHRHeading1"/>
    <w:next w:val="OpiPara"/>
    <w:uiPriority w:val="41"/>
    <w:qFormat/>
    <w:rsid w:val="006555F4"/>
    <w:pPr>
      <w:tabs>
        <w:tab w:val="clear" w:pos="357"/>
      </w:tabs>
      <w:outlineLvl w:val="1"/>
    </w:pPr>
    <w:rPr>
      <w:b/>
    </w:rPr>
  </w:style>
  <w:style w:type="paragraph" w:customStyle="1" w:styleId="OpiHi">
    <w:name w:val="Opi_H_i"/>
    <w:basedOn w:val="ECHRHeading4"/>
    <w:uiPriority w:val="44"/>
    <w:qFormat/>
    <w:rsid w:val="006555F4"/>
    <w:pPr>
      <w:ind w:left="1037" w:hanging="357"/>
      <w:outlineLvl w:val="4"/>
    </w:pPr>
    <w:rPr>
      <w:b w:val="0"/>
      <w:i/>
    </w:rPr>
  </w:style>
  <w:style w:type="paragraph" w:customStyle="1" w:styleId="OpiPara">
    <w:name w:val="Opi_Para"/>
    <w:basedOn w:val="ECHRPara"/>
    <w:uiPriority w:val="46"/>
    <w:qFormat/>
    <w:rsid w:val="006555F4"/>
  </w:style>
  <w:style w:type="paragraph" w:customStyle="1" w:styleId="OpiParaSub">
    <w:name w:val="Opi_Para_Sub"/>
    <w:basedOn w:val="JuParaSub"/>
    <w:uiPriority w:val="47"/>
    <w:qFormat/>
    <w:rsid w:val="006555F4"/>
  </w:style>
  <w:style w:type="paragraph" w:customStyle="1" w:styleId="OpiQuot">
    <w:name w:val="Opi_Quot"/>
    <w:basedOn w:val="ECHRParaQuote"/>
    <w:uiPriority w:val="48"/>
    <w:qFormat/>
    <w:rsid w:val="006555F4"/>
  </w:style>
  <w:style w:type="paragraph" w:customStyle="1" w:styleId="OpiQuotSub">
    <w:name w:val="Opi_Quot_Sub"/>
    <w:basedOn w:val="JuQuotSub"/>
    <w:uiPriority w:val="49"/>
    <w:qFormat/>
    <w:rsid w:val="006555F4"/>
  </w:style>
  <w:style w:type="paragraph" w:customStyle="1" w:styleId="OpiTranslation">
    <w:name w:val="Opi_Translation"/>
    <w:basedOn w:val="Normal"/>
    <w:next w:val="OpiPara"/>
    <w:uiPriority w:val="40"/>
    <w:qFormat/>
    <w:rsid w:val="006555F4"/>
    <w:pPr>
      <w:jc w:val="center"/>
      <w:outlineLvl w:val="0"/>
    </w:pPr>
    <w:rPr>
      <w:i/>
    </w:rPr>
  </w:style>
  <w:style w:type="character" w:customStyle="1" w:styleId="ECHRParaChar">
    <w:name w:val="ECHR_Para Char"/>
    <w:aliases w:val="Ju_Para Char"/>
    <w:basedOn w:val="DefaultParagraphFont"/>
    <w:link w:val="ECHRPara"/>
    <w:uiPriority w:val="12"/>
    <w:rsid w:val="002D401F"/>
    <w:rPr>
      <w:rFonts w:eastAsiaTheme="minorEastAsia"/>
      <w:sz w:val="24"/>
    </w:rPr>
  </w:style>
  <w:style w:type="character" w:customStyle="1" w:styleId="JuQuotChar">
    <w:name w:val="Ju_Quot Char"/>
    <w:basedOn w:val="ECHRParaChar"/>
    <w:link w:val="ECHRParaQuote"/>
    <w:uiPriority w:val="14"/>
    <w:rsid w:val="002D401F"/>
    <w:rPr>
      <w:rFonts w:eastAsiaTheme="minorEastAsia"/>
      <w:sz w:val="20"/>
    </w:rPr>
  </w:style>
  <w:style w:type="paragraph" w:customStyle="1" w:styleId="jupara">
    <w:name w:val="jupara"/>
    <w:basedOn w:val="Normal"/>
    <w:rsid w:val="00E116B6"/>
    <w:pPr>
      <w:ind w:firstLine="284"/>
    </w:pPr>
    <w:rPr>
      <w:rFonts w:ascii="Times New Roman" w:eastAsia="Times New Roman" w:hAnsi="Times New Roman" w:cs="Times New Roman"/>
      <w:szCs w:val="24"/>
      <w:lang w:val="en-GB" w:eastAsia="en-GB"/>
    </w:rPr>
  </w:style>
  <w:style w:type="paragraph" w:customStyle="1" w:styleId="jucase0">
    <w:name w:val="jucase"/>
    <w:basedOn w:val="Normal"/>
    <w:rsid w:val="00E116B6"/>
    <w:pPr>
      <w:ind w:firstLine="284"/>
    </w:pPr>
    <w:rPr>
      <w:rFonts w:ascii="Times New Roman" w:eastAsia="Times New Roman" w:hAnsi="Times New Roman" w:cs="Times New Roman"/>
      <w:b/>
      <w:bCs/>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626336">
      <w:bodyDiv w:val="1"/>
      <w:marLeft w:val="0"/>
      <w:marRight w:val="0"/>
      <w:marTop w:val="0"/>
      <w:marBottom w:val="0"/>
      <w:divBdr>
        <w:top w:val="none" w:sz="0" w:space="0" w:color="auto"/>
        <w:left w:val="none" w:sz="0" w:space="0" w:color="auto"/>
        <w:bottom w:val="none" w:sz="0" w:space="0" w:color="auto"/>
        <w:right w:val="none" w:sz="0" w:space="0" w:color="auto"/>
      </w:divBdr>
      <w:divsChild>
        <w:div w:id="1294755361">
          <w:marLeft w:val="0"/>
          <w:marRight w:val="0"/>
          <w:marTop w:val="0"/>
          <w:marBottom w:val="0"/>
          <w:divBdr>
            <w:top w:val="none" w:sz="0" w:space="0" w:color="auto"/>
            <w:left w:val="none" w:sz="0" w:space="0" w:color="auto"/>
            <w:bottom w:val="none" w:sz="0" w:space="0" w:color="auto"/>
            <w:right w:val="none" w:sz="0" w:space="0" w:color="auto"/>
          </w:divBdr>
          <w:divsChild>
            <w:div w:id="1060398042">
              <w:marLeft w:val="0"/>
              <w:marRight w:val="0"/>
              <w:marTop w:val="0"/>
              <w:marBottom w:val="0"/>
              <w:divBdr>
                <w:top w:val="none" w:sz="0" w:space="0" w:color="auto"/>
                <w:left w:val="none" w:sz="0" w:space="0" w:color="auto"/>
                <w:bottom w:val="none" w:sz="0" w:space="0" w:color="auto"/>
                <w:right w:val="none" w:sz="0" w:space="0" w:color="auto"/>
              </w:divBdr>
              <w:divsChild>
                <w:div w:id="749355164">
                  <w:marLeft w:val="0"/>
                  <w:marRight w:val="0"/>
                  <w:marTop w:val="0"/>
                  <w:marBottom w:val="0"/>
                  <w:divBdr>
                    <w:top w:val="none" w:sz="0" w:space="0" w:color="auto"/>
                    <w:left w:val="none" w:sz="0" w:space="0" w:color="auto"/>
                    <w:bottom w:val="none" w:sz="0" w:space="0" w:color="auto"/>
                    <w:right w:val="none" w:sz="0" w:space="0" w:color="auto"/>
                  </w:divBdr>
                  <w:divsChild>
                    <w:div w:id="667563710">
                      <w:marLeft w:val="0"/>
                      <w:marRight w:val="0"/>
                      <w:marTop w:val="0"/>
                      <w:marBottom w:val="0"/>
                      <w:divBdr>
                        <w:top w:val="none" w:sz="0" w:space="0" w:color="auto"/>
                        <w:left w:val="none" w:sz="0" w:space="0" w:color="auto"/>
                        <w:bottom w:val="none" w:sz="0" w:space="0" w:color="auto"/>
                        <w:right w:val="none" w:sz="0" w:space="0" w:color="auto"/>
                      </w:divBdr>
                      <w:divsChild>
                        <w:div w:id="2088990823">
                          <w:marLeft w:val="0"/>
                          <w:marRight w:val="0"/>
                          <w:marTop w:val="0"/>
                          <w:marBottom w:val="0"/>
                          <w:divBdr>
                            <w:top w:val="none" w:sz="0" w:space="0" w:color="auto"/>
                            <w:left w:val="none" w:sz="0" w:space="0" w:color="auto"/>
                            <w:bottom w:val="none" w:sz="0" w:space="0" w:color="auto"/>
                            <w:right w:val="none" w:sz="0" w:space="0" w:color="auto"/>
                          </w:divBdr>
                          <w:divsChild>
                            <w:div w:id="44882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4708936">
      <w:bodyDiv w:val="1"/>
      <w:marLeft w:val="0"/>
      <w:marRight w:val="0"/>
      <w:marTop w:val="0"/>
      <w:marBottom w:val="0"/>
      <w:divBdr>
        <w:top w:val="none" w:sz="0" w:space="0" w:color="auto"/>
        <w:left w:val="none" w:sz="0" w:space="0" w:color="auto"/>
        <w:bottom w:val="none" w:sz="0" w:space="0" w:color="auto"/>
        <w:right w:val="none" w:sz="0" w:space="0" w:color="auto"/>
      </w:divBdr>
      <w:divsChild>
        <w:div w:id="303893984">
          <w:marLeft w:val="0"/>
          <w:marRight w:val="0"/>
          <w:marTop w:val="0"/>
          <w:marBottom w:val="0"/>
          <w:divBdr>
            <w:top w:val="none" w:sz="0" w:space="0" w:color="auto"/>
            <w:left w:val="none" w:sz="0" w:space="0" w:color="auto"/>
            <w:bottom w:val="none" w:sz="0" w:space="0" w:color="auto"/>
            <w:right w:val="none" w:sz="0" w:space="0" w:color="auto"/>
          </w:divBdr>
          <w:divsChild>
            <w:div w:id="2049841808">
              <w:marLeft w:val="0"/>
              <w:marRight w:val="0"/>
              <w:marTop w:val="0"/>
              <w:marBottom w:val="0"/>
              <w:divBdr>
                <w:top w:val="none" w:sz="0" w:space="0" w:color="auto"/>
                <w:left w:val="none" w:sz="0" w:space="0" w:color="auto"/>
                <w:bottom w:val="none" w:sz="0" w:space="0" w:color="auto"/>
                <w:right w:val="none" w:sz="0" w:space="0" w:color="auto"/>
              </w:divBdr>
              <w:divsChild>
                <w:div w:id="929318440">
                  <w:marLeft w:val="0"/>
                  <w:marRight w:val="0"/>
                  <w:marTop w:val="0"/>
                  <w:marBottom w:val="0"/>
                  <w:divBdr>
                    <w:top w:val="none" w:sz="0" w:space="0" w:color="auto"/>
                    <w:left w:val="none" w:sz="0" w:space="0" w:color="auto"/>
                    <w:bottom w:val="none" w:sz="0" w:space="0" w:color="auto"/>
                    <w:right w:val="none" w:sz="0" w:space="0" w:color="auto"/>
                  </w:divBdr>
                  <w:divsChild>
                    <w:div w:id="854348934">
                      <w:marLeft w:val="0"/>
                      <w:marRight w:val="0"/>
                      <w:marTop w:val="0"/>
                      <w:marBottom w:val="0"/>
                      <w:divBdr>
                        <w:top w:val="none" w:sz="0" w:space="0" w:color="auto"/>
                        <w:left w:val="none" w:sz="0" w:space="0" w:color="auto"/>
                        <w:bottom w:val="none" w:sz="0" w:space="0" w:color="auto"/>
                        <w:right w:val="none" w:sz="0" w:space="0" w:color="auto"/>
                      </w:divBdr>
                      <w:divsChild>
                        <w:div w:id="669065940">
                          <w:marLeft w:val="0"/>
                          <w:marRight w:val="0"/>
                          <w:marTop w:val="0"/>
                          <w:marBottom w:val="0"/>
                          <w:divBdr>
                            <w:top w:val="none" w:sz="0" w:space="0" w:color="auto"/>
                            <w:left w:val="none" w:sz="0" w:space="0" w:color="auto"/>
                            <w:bottom w:val="none" w:sz="0" w:space="0" w:color="auto"/>
                            <w:right w:val="none" w:sz="0" w:space="0" w:color="auto"/>
                          </w:divBdr>
                          <w:divsChild>
                            <w:div w:id="212896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hudoc.echr.coe.int/eng" TargetMode="External"/><Relationship Id="rId18" Type="http://schemas.openxmlformats.org/officeDocument/2006/relationships/hyperlink" Target="http://hudoc.echr.coe.int/en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hudoc.echr.coe.int/eng" TargetMode="External"/><Relationship Id="rId17" Type="http://schemas.openxmlformats.org/officeDocument/2006/relationships/hyperlink" Target="http://hudoc.echr.coe.int/eng"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hudoc.echr.coe.int/eng"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udoc.echr.coe.int/eng"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hudoc.echr.coe.int/eng" TargetMode="External"/><Relationship Id="rId23"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hudoc.echr.coe.int/eng"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E836BB-67C3-437E-AA3D-4388B3BD8637}"/>
</file>

<file path=customXml/itemProps2.xml><?xml version="1.0" encoding="utf-8"?>
<ds:datastoreItem xmlns:ds="http://schemas.openxmlformats.org/officeDocument/2006/customXml" ds:itemID="{72FE7BF6-1C8A-4032-A9F7-0B10AB5A190C}"/>
</file>

<file path=customXml/itemProps3.xml><?xml version="1.0" encoding="utf-8"?>
<ds:datastoreItem xmlns:ds="http://schemas.openxmlformats.org/officeDocument/2006/customXml" ds:itemID="{3187B5E4-82E1-463B-9F6A-B4C8BF53AFDF}"/>
</file>

<file path=customXml/itemProps4.xml><?xml version="1.0" encoding="utf-8"?>
<ds:datastoreItem xmlns:ds="http://schemas.openxmlformats.org/officeDocument/2006/customXml" ds:itemID="{175F2A91-3B05-41A7-B2B2-CF99EC41B442}"/>
</file>

<file path=docProps/app.xml><?xml version="1.0" encoding="utf-8"?>
<Properties xmlns="http://schemas.openxmlformats.org/officeDocument/2006/extended-properties" xmlns:vt="http://schemas.openxmlformats.org/officeDocument/2006/docPropsVTypes">
  <Template>Normal.dotm</Template>
  <TotalTime>0</TotalTime>
  <Pages>1</Pages>
  <Words>17029</Words>
  <Characters>97071</Characters>
  <Application>Microsoft Office Word</Application>
  <DocSecurity>0</DocSecurity>
  <Lines>808</Lines>
  <Paragraphs>227</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113873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JUD</dc:subject>
  <dc:creator/>
  <cp:lastModifiedBy/>
  <cp:revision>1</cp:revision>
  <cp:lastPrinted>2017-03-14T09:41:00Z</cp:lastPrinted>
  <dcterms:created xsi:type="dcterms:W3CDTF">2017-10-11T10:14:00Z</dcterms:created>
  <dcterms:modified xsi:type="dcterms:W3CDTF">2017-10-11T10:14:00Z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tLanguage">
    <vt:i4>2057</vt:i4>
  </property>
  <property fmtid="{D5CDD505-2E9C-101B-9397-08002B2CF9AE}" pid="3" name="RegisteredNo">
    <vt:lpwstr>21571/05</vt:lpwstr>
  </property>
  <property fmtid="{D5CDD505-2E9C-101B-9397-08002B2CF9AE}" pid="4" name="CASEID">
    <vt:lpwstr>351796</vt:lpwstr>
  </property>
  <property fmtid="{D5CDD505-2E9C-101B-9397-08002B2CF9AE}" pid="5" name="ContentTypeId">
    <vt:lpwstr>0x010100558EB02BDB9E204AB350EDD385B68E10</vt:lpwstr>
  </property>
</Properties>
</file>