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35" w:rsidRPr="00457A13" w:rsidRDefault="00115035" w:rsidP="00457A13">
      <w:pPr>
        <w:jc w:val="center"/>
        <w:rPr>
          <w:lang w:val="en-GB"/>
        </w:rPr>
      </w:pPr>
      <w:bookmarkStart w:id="0" w:name="_GoBack"/>
      <w:bookmarkEnd w:id="0"/>
    </w:p>
    <w:p w:rsidR="00E93FC7" w:rsidRPr="00457A13" w:rsidRDefault="00E93FC7" w:rsidP="00457A13">
      <w:pPr>
        <w:jc w:val="center"/>
        <w:rPr>
          <w:sz w:val="4"/>
          <w:szCs w:val="4"/>
          <w:lang w:val="en-GB"/>
        </w:rPr>
      </w:pPr>
    </w:p>
    <w:p w:rsidR="00E93FC7" w:rsidRPr="00457A13" w:rsidRDefault="00D426A2" w:rsidP="00457A13">
      <w:pPr>
        <w:pStyle w:val="DecHTitle"/>
        <w:rPr>
          <w:lang w:val="en-GB"/>
        </w:rPr>
      </w:pPr>
      <w:r w:rsidRPr="00457A13">
        <w:rPr>
          <w:szCs w:val="24"/>
          <w:lang w:val="en-GB"/>
        </w:rPr>
        <w:t>FIFTH SECTION</w:t>
      </w:r>
    </w:p>
    <w:p w:rsidR="00E93FC7" w:rsidRPr="00457A13" w:rsidRDefault="00E93FC7" w:rsidP="00457A13">
      <w:pPr>
        <w:pStyle w:val="DecHTitle"/>
        <w:rPr>
          <w:lang w:val="en-GB"/>
        </w:rPr>
      </w:pPr>
      <w:r w:rsidRPr="00457A13">
        <w:rPr>
          <w:lang w:val="en-GB"/>
        </w:rPr>
        <w:t>DECISION</w:t>
      </w:r>
    </w:p>
    <w:p w:rsidR="00EE3667" w:rsidRPr="00457A13" w:rsidRDefault="00D426A2" w:rsidP="00457A13">
      <w:pPr>
        <w:pStyle w:val="ECHRTitleCentre2"/>
        <w:rPr>
          <w:lang w:val="en-GB"/>
        </w:rPr>
      </w:pPr>
      <w:r w:rsidRPr="00457A13">
        <w:rPr>
          <w:lang w:val="en-GB"/>
        </w:rPr>
        <w:t>Application no</w:t>
      </w:r>
      <w:r w:rsidR="00E93FC7" w:rsidRPr="00457A13">
        <w:rPr>
          <w:lang w:val="en-GB"/>
        </w:rPr>
        <w:t xml:space="preserve">. </w:t>
      </w:r>
      <w:r w:rsidRPr="00457A13">
        <w:rPr>
          <w:lang w:val="en-GB"/>
        </w:rPr>
        <w:t>52168/12</w:t>
      </w:r>
      <w:r w:rsidR="00E93FC7" w:rsidRPr="00457A13">
        <w:rPr>
          <w:lang w:val="en-GB"/>
        </w:rPr>
        <w:br/>
      </w:r>
      <w:r w:rsidRPr="00457A13">
        <w:rPr>
          <w:lang w:val="en-GB"/>
        </w:rPr>
        <w:t>Shakria ZURASHVILI</w:t>
      </w:r>
      <w:r w:rsidRPr="00457A13">
        <w:rPr>
          <w:lang w:val="en-GB"/>
        </w:rPr>
        <w:br/>
      </w:r>
      <w:r w:rsidR="00E93FC7" w:rsidRPr="00457A13">
        <w:rPr>
          <w:lang w:val="en-GB"/>
        </w:rPr>
        <w:t xml:space="preserve">against </w:t>
      </w:r>
      <w:r w:rsidRPr="00457A13">
        <w:rPr>
          <w:lang w:val="en-GB"/>
        </w:rPr>
        <w:t>Georgia</w:t>
      </w:r>
    </w:p>
    <w:p w:rsidR="00D426A2" w:rsidRPr="00457A13" w:rsidRDefault="00D426A2" w:rsidP="00457A13">
      <w:pPr>
        <w:pStyle w:val="ECHRPara"/>
        <w:rPr>
          <w:lang w:val="en-GB"/>
        </w:rPr>
      </w:pPr>
      <w:r w:rsidRPr="00457A13">
        <w:rPr>
          <w:lang w:val="en-GB"/>
        </w:rPr>
        <w:t>The European Court of Human Rights (Fifth Section), sitting on 19 September 2017 as a Committee composed of:</w:t>
      </w:r>
    </w:p>
    <w:p w:rsidR="00D426A2" w:rsidRPr="00457A13" w:rsidRDefault="00D426A2" w:rsidP="00457A13">
      <w:pPr>
        <w:pStyle w:val="ECHRDecisionBody"/>
        <w:rPr>
          <w:lang w:val="en-GB"/>
        </w:rPr>
      </w:pPr>
      <w:r w:rsidRPr="00457A13">
        <w:tab/>
      </w:r>
      <w:proofErr w:type="spellStart"/>
      <w:r w:rsidRPr="00457A13">
        <w:t>Síofra</w:t>
      </w:r>
      <w:proofErr w:type="spellEnd"/>
      <w:r w:rsidRPr="00457A13">
        <w:t xml:space="preserve"> O</w:t>
      </w:r>
      <w:r w:rsidR="00457A13" w:rsidRPr="00457A13">
        <w:t>’</w:t>
      </w:r>
      <w:r w:rsidRPr="00457A13">
        <w:t>Leary,</w:t>
      </w:r>
      <w:r w:rsidRPr="00457A13">
        <w:rPr>
          <w:i/>
        </w:rPr>
        <w:t xml:space="preserve"> President,</w:t>
      </w:r>
      <w:r w:rsidRPr="00457A13">
        <w:rPr>
          <w:i/>
        </w:rPr>
        <w:br/>
      </w:r>
      <w:r w:rsidRPr="00457A13">
        <w:tab/>
        <w:t xml:space="preserve">Nona </w:t>
      </w:r>
      <w:proofErr w:type="spellStart"/>
      <w:r w:rsidRPr="00457A13">
        <w:t>Tsotsoria</w:t>
      </w:r>
      <w:proofErr w:type="spellEnd"/>
      <w:r w:rsidRPr="00457A13">
        <w:t>,</w:t>
      </w:r>
      <w:r w:rsidRPr="00457A13">
        <w:rPr>
          <w:i/>
        </w:rPr>
        <w:br/>
      </w:r>
      <w:r w:rsidRPr="00457A13">
        <w:tab/>
      </w:r>
      <w:proofErr w:type="spellStart"/>
      <w:r w:rsidRPr="00457A13">
        <w:t>Lәtif</w:t>
      </w:r>
      <w:proofErr w:type="spellEnd"/>
      <w:r w:rsidRPr="00457A13">
        <w:t xml:space="preserve"> </w:t>
      </w:r>
      <w:proofErr w:type="spellStart"/>
      <w:r w:rsidRPr="00457A13">
        <w:t>Hüseynov</w:t>
      </w:r>
      <w:proofErr w:type="spellEnd"/>
      <w:r w:rsidRPr="00457A13">
        <w:t>,</w:t>
      </w:r>
      <w:r w:rsidRPr="00457A13">
        <w:rPr>
          <w:i/>
        </w:rPr>
        <w:t xml:space="preserve"> judges,</w:t>
      </w:r>
      <w:r w:rsidRPr="00457A13">
        <w:rPr>
          <w:lang w:val="en-GB"/>
        </w:rPr>
        <w:br/>
        <w:t xml:space="preserve">and Anne-Marie Dougin, </w:t>
      </w:r>
      <w:r w:rsidRPr="00457A13">
        <w:rPr>
          <w:i/>
          <w:lang w:val="en-GB"/>
        </w:rPr>
        <w:t xml:space="preserve">Acting Deputy </w:t>
      </w:r>
      <w:r w:rsidRPr="00457A13">
        <w:rPr>
          <w:i/>
          <w:iCs/>
          <w:lang w:val="en-GB"/>
        </w:rPr>
        <w:t>Section Registrar</w:t>
      </w:r>
      <w:r w:rsidRPr="00457A13">
        <w:rPr>
          <w:i/>
          <w:lang w:val="en-GB"/>
        </w:rPr>
        <w:t>,</w:t>
      </w:r>
    </w:p>
    <w:p w:rsidR="00D426A2" w:rsidRPr="00457A13" w:rsidRDefault="00D426A2" w:rsidP="00457A13">
      <w:pPr>
        <w:pStyle w:val="ECHRPara"/>
        <w:rPr>
          <w:lang w:val="en-GB"/>
        </w:rPr>
      </w:pPr>
      <w:r w:rsidRPr="00457A13">
        <w:rPr>
          <w:lang w:val="en-GB"/>
        </w:rPr>
        <w:t>Having regard to the above application lodged on 13 August 2012,</w:t>
      </w:r>
    </w:p>
    <w:p w:rsidR="00D426A2" w:rsidRPr="00457A13" w:rsidRDefault="00D426A2" w:rsidP="00457A13">
      <w:pPr>
        <w:pStyle w:val="ECHRPara"/>
        <w:rPr>
          <w:lang w:val="en-GB"/>
        </w:rPr>
      </w:pPr>
      <w:r w:rsidRPr="00457A13">
        <w:rPr>
          <w:lang w:val="en-GB"/>
        </w:rPr>
        <w:t>Having regard to the declaration submitted by the respondent Government on 28 October 2016 requesting the Court to strike the application out of the list of cases and the applicant</w:t>
      </w:r>
      <w:r w:rsidR="00457A13" w:rsidRPr="00457A13">
        <w:rPr>
          <w:lang w:val="en-GB"/>
        </w:rPr>
        <w:t>’</w:t>
      </w:r>
      <w:r w:rsidRPr="00457A13">
        <w:rPr>
          <w:lang w:val="en-GB"/>
        </w:rPr>
        <w:t>s reply to that declaration,</w:t>
      </w:r>
    </w:p>
    <w:p w:rsidR="00D426A2" w:rsidRPr="00457A13" w:rsidRDefault="00D426A2" w:rsidP="00457A13">
      <w:pPr>
        <w:pStyle w:val="ECHRPara"/>
        <w:rPr>
          <w:lang w:val="en-GB"/>
        </w:rPr>
      </w:pPr>
      <w:r w:rsidRPr="00457A13">
        <w:rPr>
          <w:lang w:val="en-GB"/>
        </w:rPr>
        <w:t>Having deliberated, decides as follows:</w:t>
      </w:r>
    </w:p>
    <w:p w:rsidR="00D426A2" w:rsidRPr="00457A13" w:rsidRDefault="00D426A2" w:rsidP="00457A13">
      <w:pPr>
        <w:pStyle w:val="ECHRTitle1"/>
        <w:rPr>
          <w:lang w:val="en-GB"/>
        </w:rPr>
      </w:pPr>
      <w:r w:rsidRPr="00457A13">
        <w:rPr>
          <w:lang w:val="en-GB"/>
        </w:rPr>
        <w:t>FACTS AND PROCEDURE</w:t>
      </w:r>
    </w:p>
    <w:p w:rsidR="00D426A2" w:rsidRPr="00457A13" w:rsidRDefault="00D426A2" w:rsidP="00457A13">
      <w:pPr>
        <w:pStyle w:val="ECHRPara"/>
        <w:rPr>
          <w:lang w:val="en-GB"/>
        </w:rPr>
      </w:pPr>
      <w:r w:rsidRPr="00457A13">
        <w:rPr>
          <w:lang w:val="en-GB"/>
        </w:rPr>
        <w:t>1.  The applicant, Mr Shakria Zurashvili, is a Georgian national, who was born in 1964 and lives in Tbilisi. He was represented before the Court by Ms T. Mikeladze, Ms N. Katsitadze, Mr Ph. Leach and Ms J. Gavron, lawyers practising in Tbilisi and London.</w:t>
      </w:r>
    </w:p>
    <w:p w:rsidR="00D426A2" w:rsidRPr="00457A13" w:rsidRDefault="00D426A2" w:rsidP="00457A13">
      <w:pPr>
        <w:pStyle w:val="ECHRPara"/>
        <w:rPr>
          <w:lang w:val="en-GB"/>
        </w:rPr>
      </w:pPr>
      <w:r w:rsidRPr="00457A13">
        <w:rPr>
          <w:lang w:val="en-GB"/>
        </w:rPr>
        <w:t>2.  The Georgian Government (“the Government”) were represented by their Agent, Mr B. Dzamashvili, of the Ministry of Justice.</w:t>
      </w:r>
    </w:p>
    <w:p w:rsidR="00D426A2" w:rsidRPr="00457A13" w:rsidRDefault="00D426A2" w:rsidP="00457A13">
      <w:pPr>
        <w:pStyle w:val="ECHRPara"/>
        <w:rPr>
          <w:lang w:val="en-GB"/>
        </w:rPr>
      </w:pPr>
      <w:r w:rsidRPr="00457A13">
        <w:rPr>
          <w:lang w:val="en-GB"/>
        </w:rPr>
        <w:t>3.  The applicant complained under Article 3 of the Convention about his alleged ill-treatment during police custody on 26 May 2011 (hereinafter “the incident of 26 May 2011”) and the relevant authorities</w:t>
      </w:r>
      <w:r w:rsidR="00457A13" w:rsidRPr="00457A13">
        <w:rPr>
          <w:lang w:val="en-GB"/>
        </w:rPr>
        <w:t>’</w:t>
      </w:r>
      <w:r w:rsidRPr="00457A13">
        <w:rPr>
          <w:lang w:val="en-GB"/>
        </w:rPr>
        <w:t xml:space="preserve"> failure to launch a criminal investigation into that incident.</w:t>
      </w:r>
    </w:p>
    <w:p w:rsidR="00D426A2" w:rsidRPr="00457A13" w:rsidRDefault="00D426A2" w:rsidP="00457A13">
      <w:pPr>
        <w:pStyle w:val="ECHRPara"/>
        <w:keepNext/>
        <w:keepLines/>
        <w:rPr>
          <w:lang w:val="en-GB"/>
        </w:rPr>
      </w:pPr>
      <w:r w:rsidRPr="00457A13">
        <w:rPr>
          <w:lang w:val="en-GB"/>
        </w:rPr>
        <w:lastRenderedPageBreak/>
        <w:t>4.  After failure of attempts to reach a friendly settlement, by a letter of 28 October 2016 the Government informed the Court that they proposed to make a unilateral declaration with a view to resolving the application. They further requested the Court to strike out the application in its relevant part in accordance with Article 37 of the Convention.</w:t>
      </w:r>
    </w:p>
    <w:p w:rsidR="00D426A2" w:rsidRPr="00457A13" w:rsidRDefault="00D426A2" w:rsidP="00457A13">
      <w:pPr>
        <w:pStyle w:val="ECHRPara"/>
        <w:keepNext/>
        <w:keepLines/>
        <w:rPr>
          <w:szCs w:val="24"/>
          <w:lang w:val="en-GB"/>
        </w:rPr>
      </w:pPr>
      <w:r w:rsidRPr="00457A13">
        <w:rPr>
          <w:szCs w:val="24"/>
          <w:lang w:val="en-GB"/>
        </w:rPr>
        <w:t>5.  Notably, after having explicitly acknowledged a violation of Article</w:t>
      </w:r>
      <w:r w:rsidR="005728D4" w:rsidRPr="00457A13">
        <w:rPr>
          <w:szCs w:val="24"/>
          <w:lang w:val="en-GB"/>
        </w:rPr>
        <w:t> </w:t>
      </w:r>
      <w:r w:rsidRPr="00457A13">
        <w:rPr>
          <w:szCs w:val="24"/>
          <w:lang w:val="en-GB"/>
        </w:rPr>
        <w:t>3</w:t>
      </w:r>
      <w:r w:rsidR="005728D4" w:rsidRPr="00457A13">
        <w:rPr>
          <w:szCs w:val="24"/>
          <w:lang w:val="en-GB"/>
        </w:rPr>
        <w:t xml:space="preserve"> </w:t>
      </w:r>
      <w:r w:rsidRPr="00457A13">
        <w:rPr>
          <w:szCs w:val="24"/>
          <w:lang w:val="en-GB"/>
        </w:rPr>
        <w:t>of the Convention under both substantive and procedural limbs in relation to the incident of 26 May 2011, the Government undertook to comply with the following terms:</w:t>
      </w:r>
    </w:p>
    <w:p w:rsidR="00D426A2" w:rsidRPr="00457A13" w:rsidRDefault="00D426A2" w:rsidP="00457A13">
      <w:pPr>
        <w:pStyle w:val="ECHRParaQuote"/>
        <w:rPr>
          <w:lang w:val="en-GB"/>
        </w:rPr>
      </w:pPr>
      <w:r w:rsidRPr="00457A13">
        <w:rPr>
          <w:lang w:val="en-GB"/>
        </w:rPr>
        <w:t>“– to ensure the conduct of an effective investigation into the applicant</w:t>
      </w:r>
      <w:r w:rsidR="00457A13" w:rsidRPr="00457A13">
        <w:rPr>
          <w:lang w:val="en-GB"/>
        </w:rPr>
        <w:t>’</w:t>
      </w:r>
      <w:r w:rsidRPr="00457A13">
        <w:rPr>
          <w:lang w:val="en-GB"/>
        </w:rPr>
        <w:t>s allegations of ill-treatment in full compliance with the principles established by the Court;</w:t>
      </w:r>
    </w:p>
    <w:p w:rsidR="00D426A2" w:rsidRPr="00457A13" w:rsidRDefault="00D426A2" w:rsidP="00457A13">
      <w:pPr>
        <w:pStyle w:val="ECHRParaQuote"/>
        <w:rPr>
          <w:lang w:val="en-GB"/>
        </w:rPr>
      </w:pPr>
      <w:r w:rsidRPr="00457A13">
        <w:rPr>
          <w:lang w:val="en-GB"/>
        </w:rPr>
        <w:t>– to pay to the applicant EUR 5,000 (five thousand euros) to cover any and all pecuniary or non-pecuniary damages as well as costs and expenses, plus any tax that may be chargeable to them. This sum will be converted into the national currency at the rate applicable on the date of payment, and will be free of any taxes that may be applicable. It will be payable within three months from the date of notification of the decision taken by the Court. In the event of failure to pay this within the said three-month period, the Government undertook to pay simple interest on it, from the expiry of that period until settlement, at a rate equal to the marginal lending rate of the European Central Bank during the default period plus three percentage points.”</w:t>
      </w:r>
    </w:p>
    <w:p w:rsidR="00D426A2" w:rsidRPr="00457A13" w:rsidRDefault="00D426A2" w:rsidP="00457A13">
      <w:pPr>
        <w:pStyle w:val="ECHRPara"/>
        <w:rPr>
          <w:lang w:val="en-GB"/>
        </w:rPr>
      </w:pPr>
      <w:r w:rsidRPr="00457A13">
        <w:rPr>
          <w:lang w:val="en-GB"/>
        </w:rPr>
        <w:t>6.  By a letter of 25 November 2016, the applicant indicated that he was not satisfied with the terms of the unilateral declaration on the ground that the Government</w:t>
      </w:r>
      <w:r w:rsidR="00457A13" w:rsidRPr="00457A13">
        <w:rPr>
          <w:lang w:val="en-GB"/>
        </w:rPr>
        <w:t>’</w:t>
      </w:r>
      <w:r w:rsidRPr="00457A13">
        <w:rPr>
          <w:lang w:val="en-GB"/>
        </w:rPr>
        <w:t>s undertaking to conduct an effective investigation into his allegations of ill-treatment was formulated in general terms. He argued that the Government should have specified in the declaration that a number of particular investigative measures ought to be undertaken, that the applicant would be granted victim status and sufficiently involved in the investigation and that the investigation would be finalised within a reasonable period of time. The applicant further denounced the amount of the compensation as inadequate. He submitted a set of financial documents showing that he was expected to pay 3,545.21 United Kingdom pounds sterling (GBP) (approximately 4,167 euros (EUR)) for the legal services provided by his British lawyers in the proceedings before the Court (see paragraph 1 above).</w:t>
      </w:r>
    </w:p>
    <w:p w:rsidR="00D426A2" w:rsidRPr="00457A13" w:rsidRDefault="00D426A2" w:rsidP="00457A13">
      <w:pPr>
        <w:pStyle w:val="ECHRTitle1"/>
        <w:rPr>
          <w:lang w:val="en-GB"/>
        </w:rPr>
      </w:pPr>
      <w:r w:rsidRPr="00457A13">
        <w:rPr>
          <w:lang w:val="en-GB"/>
        </w:rPr>
        <w:t>THE LAW</w:t>
      </w:r>
    </w:p>
    <w:p w:rsidR="00D426A2" w:rsidRPr="00457A13" w:rsidRDefault="00D426A2" w:rsidP="00457A13">
      <w:pPr>
        <w:pStyle w:val="ECHRHeading2"/>
        <w:rPr>
          <w:lang w:val="en-GB"/>
        </w:rPr>
      </w:pPr>
      <w:r w:rsidRPr="00457A13">
        <w:rPr>
          <w:lang w:val="en-GB"/>
        </w:rPr>
        <w:t xml:space="preserve">A. </w:t>
      </w:r>
      <w:proofErr w:type="gramStart"/>
      <w:r w:rsidRPr="00457A13">
        <w:rPr>
          <w:lang w:val="en-GB"/>
        </w:rPr>
        <w:t>The</w:t>
      </w:r>
      <w:proofErr w:type="gramEnd"/>
      <w:r w:rsidRPr="00457A13">
        <w:rPr>
          <w:lang w:val="en-GB"/>
        </w:rPr>
        <w:t xml:space="preserve"> Government</w:t>
      </w:r>
      <w:r w:rsidR="00457A13" w:rsidRPr="00457A13">
        <w:rPr>
          <w:lang w:val="en-GB"/>
        </w:rPr>
        <w:t>’</w:t>
      </w:r>
      <w:r w:rsidRPr="00457A13">
        <w:rPr>
          <w:lang w:val="en-GB"/>
        </w:rPr>
        <w:t>s unilateral declaration</w:t>
      </w:r>
    </w:p>
    <w:p w:rsidR="00D426A2" w:rsidRPr="00457A13" w:rsidRDefault="00D426A2" w:rsidP="00457A13">
      <w:pPr>
        <w:pStyle w:val="ECHRPara"/>
        <w:rPr>
          <w:lang w:val="en-GB"/>
        </w:rPr>
      </w:pPr>
      <w:r w:rsidRPr="00457A13">
        <w:rPr>
          <w:lang w:val="en-GB"/>
        </w:rPr>
        <w:t>7.  The Court re</w:t>
      </w:r>
      <w:r w:rsidRPr="00457A13">
        <w:rPr>
          <w:color w:val="000000"/>
          <w:lang w:val="en-GB"/>
        </w:rPr>
        <w:t>iterates</w:t>
      </w:r>
      <w:r w:rsidRPr="00457A13">
        <w:rPr>
          <w:lang w:val="en-GB"/>
        </w:rPr>
        <w:t xml:space="preserve"> that Article 37 of the Convention provides that it may at any stage of the proceedings decide to strike an application out of its list of cases where the circumstances lead to one of the conclusions specified, under (a), (b) or (c) of paragraph 1 of that Article. </w:t>
      </w:r>
      <w:r w:rsidRPr="00457A13">
        <w:rPr>
          <w:lang w:val="en-GB"/>
        </w:rPr>
        <w:lastRenderedPageBreak/>
        <w:t>Article 37 § 1 (c) enables the Court in particular to strike a case out of its list if:</w:t>
      </w:r>
    </w:p>
    <w:p w:rsidR="00D426A2" w:rsidRPr="00457A13" w:rsidRDefault="00D426A2" w:rsidP="00457A13">
      <w:pPr>
        <w:pStyle w:val="ECHRParaQuote"/>
        <w:rPr>
          <w:szCs w:val="24"/>
          <w:lang w:val="en-GB"/>
        </w:rPr>
      </w:pPr>
      <w:r w:rsidRPr="00457A13">
        <w:rPr>
          <w:lang w:val="en-GB"/>
        </w:rPr>
        <w:t>“</w:t>
      </w:r>
      <w:proofErr w:type="gramStart"/>
      <w:r w:rsidRPr="00457A13">
        <w:rPr>
          <w:lang w:val="en-GB"/>
        </w:rPr>
        <w:t>for</w:t>
      </w:r>
      <w:proofErr w:type="gramEnd"/>
      <w:r w:rsidRPr="00457A13">
        <w:rPr>
          <w:lang w:val="en-GB"/>
        </w:rPr>
        <w:t xml:space="preserve"> any other reason established by the Court, it is no longer justified to continue the examination of the application”.</w:t>
      </w:r>
    </w:p>
    <w:p w:rsidR="00D426A2" w:rsidRPr="00457A13" w:rsidRDefault="00D426A2" w:rsidP="00457A13">
      <w:pPr>
        <w:pStyle w:val="ECHRPara"/>
        <w:rPr>
          <w:lang w:val="en-GB"/>
        </w:rPr>
      </w:pPr>
      <w:r w:rsidRPr="00457A13">
        <w:rPr>
          <w:lang w:val="en-GB"/>
        </w:rPr>
        <w:t>8.  It also reiterates that in certain circumstances, it may strike out an application under Article 37 § 1 (c) on the basis of a unilateral declaration by a respondent Government even if the applicant wishes the examination of the case to be continued.</w:t>
      </w:r>
    </w:p>
    <w:p w:rsidR="00D426A2" w:rsidRPr="00457A13" w:rsidRDefault="00D426A2" w:rsidP="00457A13">
      <w:pPr>
        <w:pStyle w:val="ECHRPara"/>
        <w:rPr>
          <w:szCs w:val="24"/>
          <w:lang w:val="en-GB"/>
        </w:rPr>
      </w:pPr>
      <w:r w:rsidRPr="00457A13">
        <w:rPr>
          <w:lang w:val="en-GB"/>
        </w:rPr>
        <w:t xml:space="preserve">9.  To this end, the Court </w:t>
      </w:r>
      <w:r w:rsidRPr="00457A13">
        <w:rPr>
          <w:color w:val="000000"/>
          <w:lang w:val="en-GB"/>
        </w:rPr>
        <w:t xml:space="preserve">has examined </w:t>
      </w:r>
      <w:r w:rsidRPr="00457A13">
        <w:rPr>
          <w:lang w:val="en-GB"/>
        </w:rPr>
        <w:t>the declaration</w:t>
      </w:r>
      <w:r w:rsidRPr="00457A13">
        <w:rPr>
          <w:color w:val="000000"/>
          <w:lang w:val="en-GB"/>
        </w:rPr>
        <w:t xml:space="preserve"> </w:t>
      </w:r>
      <w:r w:rsidRPr="00457A13">
        <w:rPr>
          <w:lang w:val="en-GB"/>
        </w:rPr>
        <w:t>in the light of the principles established in its case-law</w:t>
      </w:r>
      <w:r w:rsidRPr="00457A13">
        <w:rPr>
          <w:iCs/>
          <w:lang w:val="en-GB"/>
        </w:rPr>
        <w:t xml:space="preserve"> (see, in particular, </w:t>
      </w:r>
      <w:proofErr w:type="spellStart"/>
      <w:r w:rsidRPr="00457A13">
        <w:rPr>
          <w:i/>
          <w:lang w:val="en-GB"/>
        </w:rPr>
        <w:t>Tahsin</w:t>
      </w:r>
      <w:proofErr w:type="spellEnd"/>
      <w:r w:rsidRPr="00457A13">
        <w:rPr>
          <w:i/>
          <w:lang w:val="en-GB"/>
        </w:rPr>
        <w:t xml:space="preserve"> </w:t>
      </w:r>
      <w:proofErr w:type="spellStart"/>
      <w:r w:rsidRPr="00457A13">
        <w:rPr>
          <w:i/>
          <w:lang w:val="en-GB"/>
        </w:rPr>
        <w:t>Acar</w:t>
      </w:r>
      <w:proofErr w:type="spellEnd"/>
      <w:r w:rsidRPr="00457A13">
        <w:rPr>
          <w:i/>
          <w:lang w:val="en-GB"/>
        </w:rPr>
        <w:t xml:space="preserve"> v. Turkey </w:t>
      </w:r>
      <w:r w:rsidRPr="00457A13">
        <w:rPr>
          <w:iCs/>
          <w:lang w:val="en-GB"/>
        </w:rPr>
        <w:t xml:space="preserve">(preliminary objections) </w:t>
      </w:r>
      <w:r w:rsidRPr="00457A13">
        <w:rPr>
          <w:lang w:val="en-GB"/>
        </w:rPr>
        <w:t>[GC], no. 26307/95, §§ 75</w:t>
      </w:r>
      <w:r w:rsidRPr="00457A13">
        <w:rPr>
          <w:lang w:val="en-GB"/>
        </w:rPr>
        <w:noBreakHyphen/>
        <w:t>77, ECHR </w:t>
      </w:r>
      <w:r w:rsidRPr="00457A13">
        <w:rPr>
          <w:szCs w:val="24"/>
          <w:lang w:val="en-GB"/>
        </w:rPr>
        <w:t xml:space="preserve">2003-VI; </w:t>
      </w:r>
      <w:r w:rsidRPr="00457A13">
        <w:rPr>
          <w:i/>
          <w:szCs w:val="24"/>
          <w:lang w:val="en-GB"/>
        </w:rPr>
        <w:t xml:space="preserve">WAZA </w:t>
      </w:r>
      <w:r w:rsidRPr="00457A13">
        <w:rPr>
          <w:i/>
          <w:iCs/>
          <w:szCs w:val="24"/>
          <w:lang w:val="en-GB"/>
        </w:rPr>
        <w:t xml:space="preserve">Sp. z </w:t>
      </w:r>
      <w:proofErr w:type="spellStart"/>
      <w:r w:rsidRPr="00457A13">
        <w:rPr>
          <w:i/>
          <w:iCs/>
          <w:szCs w:val="24"/>
          <w:lang w:val="en-GB"/>
        </w:rPr>
        <w:t>o.o</w:t>
      </w:r>
      <w:proofErr w:type="spellEnd"/>
      <w:r w:rsidRPr="00457A13">
        <w:rPr>
          <w:i/>
          <w:iCs/>
          <w:szCs w:val="24"/>
          <w:lang w:val="en-GB"/>
        </w:rPr>
        <w:t>.</w:t>
      </w:r>
      <w:r w:rsidRPr="00457A13">
        <w:rPr>
          <w:i/>
          <w:szCs w:val="24"/>
          <w:lang w:val="en-GB"/>
        </w:rPr>
        <w:t xml:space="preserve"> v. Poland </w:t>
      </w:r>
      <w:r w:rsidRPr="00457A13">
        <w:rPr>
          <w:szCs w:val="24"/>
          <w:lang w:val="en-GB"/>
        </w:rPr>
        <w:t xml:space="preserve">(dec.), no. 11602/02, 26 June 2007, and </w:t>
      </w:r>
      <w:proofErr w:type="spellStart"/>
      <w:r w:rsidRPr="00457A13">
        <w:rPr>
          <w:i/>
          <w:szCs w:val="24"/>
          <w:lang w:val="en-GB"/>
        </w:rPr>
        <w:t>Sulwińska</w:t>
      </w:r>
      <w:proofErr w:type="spellEnd"/>
      <w:r w:rsidRPr="00457A13">
        <w:rPr>
          <w:i/>
          <w:szCs w:val="24"/>
          <w:lang w:val="en-GB"/>
        </w:rPr>
        <w:t xml:space="preserve"> v. Poland</w:t>
      </w:r>
      <w:r w:rsidRPr="00457A13">
        <w:rPr>
          <w:szCs w:val="24"/>
          <w:lang w:val="en-GB"/>
        </w:rPr>
        <w:t xml:space="preserve"> (dec.), no. 28953/03, 18 September 2007).</w:t>
      </w:r>
    </w:p>
    <w:p w:rsidR="00D426A2" w:rsidRPr="00457A13" w:rsidRDefault="00D426A2" w:rsidP="00457A13">
      <w:pPr>
        <w:pStyle w:val="ECHRPara"/>
        <w:rPr>
          <w:szCs w:val="24"/>
          <w:lang w:val="en-GB"/>
        </w:rPr>
      </w:pPr>
      <w:r w:rsidRPr="00457A13">
        <w:rPr>
          <w:szCs w:val="24"/>
          <w:lang w:val="en-GB"/>
        </w:rPr>
        <w:t xml:space="preserve">10.  The Court recalls that it has already established in many cases, including those brought against Georgia, its practice concerning complaints about the allegations of ill-treatment by the police and lack of adequate investigation in that respect (see, amongst many others, </w:t>
      </w:r>
      <w:proofErr w:type="spellStart"/>
      <w:r w:rsidRPr="00457A13">
        <w:rPr>
          <w:i/>
          <w:szCs w:val="24"/>
          <w:lang w:val="en-GB"/>
        </w:rPr>
        <w:t>Davtyan</w:t>
      </w:r>
      <w:proofErr w:type="spellEnd"/>
      <w:r w:rsidRPr="00457A13">
        <w:rPr>
          <w:i/>
          <w:szCs w:val="24"/>
          <w:lang w:val="en-GB"/>
        </w:rPr>
        <w:t xml:space="preserve"> v. Georgia</w:t>
      </w:r>
      <w:r w:rsidRPr="00457A13">
        <w:rPr>
          <w:szCs w:val="24"/>
          <w:lang w:val="en-GB"/>
        </w:rPr>
        <w:t xml:space="preserve">, no. 73241/01, §§ 35-47, 27 July 2006, and </w:t>
      </w:r>
      <w:proofErr w:type="spellStart"/>
      <w:r w:rsidR="00C545EF" w:rsidRPr="00457A13">
        <w:rPr>
          <w:i/>
          <w:szCs w:val="24"/>
          <w:lang w:val="en-GB"/>
        </w:rPr>
        <w:t>Danelia</w:t>
      </w:r>
      <w:proofErr w:type="spellEnd"/>
      <w:r w:rsidR="00C545EF" w:rsidRPr="00457A13">
        <w:rPr>
          <w:i/>
          <w:szCs w:val="24"/>
          <w:lang w:val="en-GB"/>
        </w:rPr>
        <w:t xml:space="preserve"> v. </w:t>
      </w:r>
      <w:r w:rsidRPr="00457A13">
        <w:rPr>
          <w:i/>
          <w:szCs w:val="24"/>
          <w:lang w:val="en-GB"/>
        </w:rPr>
        <w:t>Georgia</w:t>
      </w:r>
      <w:r w:rsidRPr="00457A13">
        <w:rPr>
          <w:szCs w:val="24"/>
          <w:lang w:val="en-GB"/>
        </w:rPr>
        <w:t>, no. 68622/01, §§ 40-65, 17 October 2006). As regards the applicant</w:t>
      </w:r>
      <w:r w:rsidR="00457A13" w:rsidRPr="00457A13">
        <w:rPr>
          <w:szCs w:val="24"/>
          <w:lang w:val="en-GB"/>
        </w:rPr>
        <w:t>’</w:t>
      </w:r>
      <w:r w:rsidRPr="00457A13">
        <w:rPr>
          <w:szCs w:val="24"/>
          <w:lang w:val="en-GB"/>
        </w:rPr>
        <w:t>s arguments, the Court does not consider them as valid objections capable of outweighing the significance of the Government</w:t>
      </w:r>
      <w:r w:rsidR="00457A13" w:rsidRPr="00457A13">
        <w:rPr>
          <w:szCs w:val="24"/>
          <w:lang w:val="en-GB"/>
        </w:rPr>
        <w:t>’</w:t>
      </w:r>
      <w:r w:rsidRPr="00457A13">
        <w:rPr>
          <w:szCs w:val="24"/>
          <w:lang w:val="en-GB"/>
        </w:rPr>
        <w:t>s unilateral declaration. The Court considers that, in the particular circumstances of the present case, the Government</w:t>
      </w:r>
      <w:r w:rsidR="00457A13" w:rsidRPr="00457A13">
        <w:rPr>
          <w:szCs w:val="24"/>
          <w:lang w:val="en-GB"/>
        </w:rPr>
        <w:t>’</w:t>
      </w:r>
      <w:r w:rsidRPr="00457A13">
        <w:rPr>
          <w:szCs w:val="24"/>
          <w:lang w:val="en-GB"/>
        </w:rPr>
        <w:t xml:space="preserve">s acknowledgement of a violation of Article 3 of the Convention under its substantive and procedural limbs, coupled with their undertaking to conduct </w:t>
      </w:r>
      <w:r w:rsidR="007104DC" w:rsidRPr="00457A13">
        <w:rPr>
          <w:szCs w:val="24"/>
          <w:lang w:val="en-GB"/>
        </w:rPr>
        <w:t xml:space="preserve">an </w:t>
      </w:r>
      <w:r w:rsidRPr="00457A13">
        <w:rPr>
          <w:szCs w:val="24"/>
          <w:lang w:val="en-GB"/>
        </w:rPr>
        <w:t>effective investigation, is rational and comprehensive enough to embrace the core of the matter and would no longer allow the applicant to claim to be a victim of a continued violation under this provision.</w:t>
      </w:r>
    </w:p>
    <w:p w:rsidR="00D426A2" w:rsidRPr="00457A13" w:rsidRDefault="00D426A2" w:rsidP="00457A13">
      <w:pPr>
        <w:pStyle w:val="ECHRPara"/>
        <w:rPr>
          <w:lang w:val="en-GB"/>
        </w:rPr>
      </w:pPr>
      <w:r w:rsidRPr="00457A13">
        <w:rPr>
          <w:lang w:val="en-GB"/>
        </w:rPr>
        <w:t>11.  Thus, having regard to the nature of the admissions and undertakings contained in the Government</w:t>
      </w:r>
      <w:r w:rsidR="00457A13" w:rsidRPr="00457A13">
        <w:rPr>
          <w:lang w:val="en-GB"/>
        </w:rPr>
        <w:t>’</w:t>
      </w:r>
      <w:r w:rsidRPr="00457A13">
        <w:rPr>
          <w:lang w:val="en-GB"/>
        </w:rPr>
        <w:t>s declaration, as well as the amount of compensation proposed – which is acceptable in the particular circumstances of the present case – the Court considers that it is no longer justified to continue the examination of the application (Article 37 § 1 (c)).</w:t>
      </w:r>
    </w:p>
    <w:p w:rsidR="00D426A2" w:rsidRPr="00457A13" w:rsidRDefault="00D426A2" w:rsidP="00457A13">
      <w:pPr>
        <w:pStyle w:val="ECHRPara"/>
        <w:rPr>
          <w:lang w:val="en-GB"/>
        </w:rPr>
      </w:pPr>
      <w:r w:rsidRPr="00457A13">
        <w:rPr>
          <w:lang w:val="en-GB"/>
        </w:rPr>
        <w:t xml:space="preserve">12.  Moreover, in light of the above considerations, and in particular given the clear and extensive case-law on the topic, the Court is satisfied that respect for human rights as defined in the Convention and the Protocols thereto does not require it to continue the examination of the application (Article 37 § 1 </w:t>
      </w:r>
      <w:r w:rsidRPr="00457A13">
        <w:rPr>
          <w:i/>
          <w:iCs/>
          <w:lang w:val="en-GB"/>
        </w:rPr>
        <w:t>in fine</w:t>
      </w:r>
      <w:r w:rsidRPr="00457A13">
        <w:rPr>
          <w:lang w:val="en-GB"/>
        </w:rPr>
        <w:t>).</w:t>
      </w:r>
    </w:p>
    <w:p w:rsidR="00D426A2" w:rsidRPr="00457A13" w:rsidRDefault="00D426A2" w:rsidP="00457A13">
      <w:pPr>
        <w:pStyle w:val="ECHRPara"/>
        <w:keepNext/>
        <w:keepLines/>
        <w:rPr>
          <w:lang w:val="en-GB"/>
        </w:rPr>
      </w:pPr>
      <w:r w:rsidRPr="00457A13">
        <w:rPr>
          <w:lang w:val="en-GB"/>
        </w:rPr>
        <w:lastRenderedPageBreak/>
        <w:t>13.  Finally, the Court emphasises that, should the Government fail to comply with the terms of their unilateral declaration, the application could be restored to the list in accordance with Article 37 § 2 of the Convention (</w:t>
      </w:r>
      <w:r w:rsidRPr="00457A13">
        <w:rPr>
          <w:i/>
          <w:lang w:val="en-GB"/>
        </w:rPr>
        <w:t>Josipović v. Serbia</w:t>
      </w:r>
      <w:r w:rsidRPr="00457A13">
        <w:rPr>
          <w:lang w:val="en-GB"/>
        </w:rPr>
        <w:t xml:space="preserve"> (dec.), no. 18369/07, 4 March 2008).</w:t>
      </w:r>
    </w:p>
    <w:p w:rsidR="00D426A2" w:rsidRPr="00457A13" w:rsidRDefault="00D426A2" w:rsidP="00457A13">
      <w:pPr>
        <w:pStyle w:val="ECHRPara"/>
        <w:keepNext/>
        <w:keepLines/>
        <w:rPr>
          <w:lang w:val="en-GB"/>
        </w:rPr>
      </w:pPr>
      <w:r w:rsidRPr="00457A13">
        <w:rPr>
          <w:lang w:val="en-GB"/>
        </w:rPr>
        <w:t xml:space="preserve">14.  In </w:t>
      </w:r>
      <w:r w:rsidRPr="00457A13">
        <w:rPr>
          <w:lang w:val="en-GB" w:eastAsia="en-GB"/>
        </w:rPr>
        <w:t>view of the above, it is appropriate to strike the case out of the list</w:t>
      </w:r>
      <w:r w:rsidRPr="00457A13">
        <w:rPr>
          <w:lang w:val="en-GB"/>
        </w:rPr>
        <w:t>.</w:t>
      </w:r>
    </w:p>
    <w:p w:rsidR="00D426A2" w:rsidRPr="00457A13" w:rsidRDefault="00D426A2" w:rsidP="00457A13">
      <w:pPr>
        <w:pStyle w:val="ECHRHeading2"/>
        <w:rPr>
          <w:lang w:val="en-GB" w:eastAsia="en-GB"/>
        </w:rPr>
      </w:pPr>
      <w:r w:rsidRPr="00457A13">
        <w:rPr>
          <w:lang w:val="en-GB" w:eastAsia="en-GB"/>
        </w:rPr>
        <w:t>B. Costs and expenses</w:t>
      </w:r>
    </w:p>
    <w:p w:rsidR="00D426A2" w:rsidRPr="00457A13" w:rsidRDefault="00D426A2" w:rsidP="00457A13">
      <w:pPr>
        <w:pStyle w:val="ECHRPara"/>
        <w:rPr>
          <w:lang w:val="en-GB" w:eastAsia="en-GB"/>
        </w:rPr>
      </w:pPr>
      <w:r w:rsidRPr="00457A13">
        <w:rPr>
          <w:lang w:val="en-GB" w:eastAsia="en-GB"/>
        </w:rPr>
        <w:t xml:space="preserve">15.  The Court has the discretion to award legal costs when it strikes out an application (Rule 43 § 4 of the Rules of Court). The general principles governing reimbursement of costs under Rule 43 § 4 are essentially the same as under Article 41 of the Convention (see, among others, </w:t>
      </w:r>
      <w:r w:rsidRPr="00457A13">
        <w:rPr>
          <w:i/>
          <w:lang w:val="en-GB" w:eastAsia="en-GB"/>
        </w:rPr>
        <w:t>Pisano v. Italy</w:t>
      </w:r>
      <w:r w:rsidRPr="00457A13">
        <w:rPr>
          <w:lang w:val="en-GB" w:eastAsia="en-GB"/>
        </w:rPr>
        <w:t xml:space="preserve"> (striking out) [</w:t>
      </w:r>
      <w:r w:rsidR="00C545EF" w:rsidRPr="00457A13">
        <w:rPr>
          <w:lang w:val="en-GB" w:eastAsia="en-GB"/>
        </w:rPr>
        <w:t>GC], no. 36732/97, §§ 53-54, 24 </w:t>
      </w:r>
      <w:r w:rsidRPr="00457A13">
        <w:rPr>
          <w:lang w:val="en-GB" w:eastAsia="en-GB"/>
        </w:rPr>
        <w:t xml:space="preserve">October 2002, and also </w:t>
      </w:r>
      <w:r w:rsidRPr="00457A13">
        <w:rPr>
          <w:i/>
        </w:rPr>
        <w:t>Union of Jehovah</w:t>
      </w:r>
      <w:r w:rsidR="00457A13" w:rsidRPr="00457A13">
        <w:rPr>
          <w:i/>
        </w:rPr>
        <w:t>’</w:t>
      </w:r>
      <w:r w:rsidRPr="00457A13">
        <w:rPr>
          <w:i/>
        </w:rPr>
        <w:t>s Witnesses and Others</w:t>
      </w:r>
      <w:r w:rsidR="00C545EF" w:rsidRPr="00457A13">
        <w:rPr>
          <w:i/>
          <w:lang w:val="en-GB" w:eastAsia="en-GB"/>
        </w:rPr>
        <w:t xml:space="preserve"> v. </w:t>
      </w:r>
      <w:r w:rsidRPr="00457A13">
        <w:rPr>
          <w:i/>
          <w:lang w:val="en-GB" w:eastAsia="en-GB"/>
        </w:rPr>
        <w:t>Georgia</w:t>
      </w:r>
      <w:r w:rsidRPr="00457A13">
        <w:rPr>
          <w:lang w:val="en-GB" w:eastAsia="en-GB"/>
        </w:rPr>
        <w:t xml:space="preserve"> (dec.), no. 72874/01, </w:t>
      </w:r>
      <w:r w:rsidRPr="00457A13">
        <w:rPr>
          <w:rFonts w:cstheme="minorHAnsi"/>
          <w:lang w:val="en-GB" w:eastAsia="en-GB"/>
        </w:rPr>
        <w:t>§§ 33 and</w:t>
      </w:r>
      <w:r w:rsidRPr="00457A13">
        <w:rPr>
          <w:lang w:val="en-GB" w:eastAsia="en-GB"/>
        </w:rPr>
        <w:t xml:space="preserve"> 34, 21 April 2015). In other words, an award can be made to an applicant in respect of costs and expenses only in so far as they have been actually and necessarily incurred and are reasonable as to quantum (see, among other authorities, </w:t>
      </w:r>
      <w:r w:rsidRPr="00457A13">
        <w:rPr>
          <w:i/>
          <w:lang w:val="en-GB" w:eastAsia="en-GB"/>
        </w:rPr>
        <w:t xml:space="preserve">Nikolova v. Bulgaria </w:t>
      </w:r>
      <w:r w:rsidRPr="00457A13">
        <w:rPr>
          <w:lang w:val="en-GB" w:eastAsia="en-GB"/>
        </w:rPr>
        <w:t>[GC], no. 31195/96, § 79, ECHR 1999-II).</w:t>
      </w:r>
    </w:p>
    <w:p w:rsidR="00D426A2" w:rsidRPr="00457A13" w:rsidRDefault="00D426A2" w:rsidP="00457A13">
      <w:pPr>
        <w:pStyle w:val="ECHRPara"/>
      </w:pPr>
      <w:r w:rsidRPr="00457A13">
        <w:rPr>
          <w:lang w:val="en-GB" w:eastAsia="en-GB"/>
        </w:rPr>
        <w:t>16.  In the present case, having regard to the amount of work carried out by the applicant</w:t>
      </w:r>
      <w:r w:rsidR="00457A13" w:rsidRPr="00457A13">
        <w:rPr>
          <w:lang w:val="en-GB" w:eastAsia="en-GB"/>
        </w:rPr>
        <w:t>’</w:t>
      </w:r>
      <w:r w:rsidRPr="00457A13">
        <w:rPr>
          <w:lang w:val="en-GB" w:eastAsia="en-GB"/>
        </w:rPr>
        <w:t xml:space="preserve">s lawyers, to the information concerning the actual costs in its possession and to the criteria set out above, </w:t>
      </w:r>
      <w:r w:rsidRPr="00457A13">
        <w:t>the Court considers it reasonable to award the sum of EUR 1,000 in respect of legal costs and expenses, plus any tax that may be chargeable. This amount is to be converted into the national currency at the rate applicable on the date of payment.</w:t>
      </w:r>
    </w:p>
    <w:p w:rsidR="00D426A2" w:rsidRPr="00457A13" w:rsidRDefault="00D426A2" w:rsidP="00457A13">
      <w:pPr>
        <w:pStyle w:val="ECHRPara"/>
      </w:pPr>
    </w:p>
    <w:p w:rsidR="00D426A2" w:rsidRPr="00457A13" w:rsidRDefault="00D426A2" w:rsidP="00457A13">
      <w:pPr>
        <w:pStyle w:val="ECHRPara"/>
        <w:rPr>
          <w:lang w:val="en-GB"/>
        </w:rPr>
      </w:pPr>
      <w:r w:rsidRPr="00457A13">
        <w:rPr>
          <w:lang w:val="en-GB"/>
        </w:rPr>
        <w:t>For these reasons, the Court, unanimously,</w:t>
      </w:r>
    </w:p>
    <w:p w:rsidR="00D426A2" w:rsidRPr="00457A13" w:rsidRDefault="00D426A2" w:rsidP="00457A13">
      <w:pPr>
        <w:pStyle w:val="DecList"/>
        <w:rPr>
          <w:lang w:val="en-GB"/>
        </w:rPr>
      </w:pPr>
      <w:r w:rsidRPr="00457A13">
        <w:rPr>
          <w:i/>
          <w:lang w:val="en-GB"/>
        </w:rPr>
        <w:t>Takes note</w:t>
      </w:r>
      <w:r w:rsidRPr="00457A13">
        <w:rPr>
          <w:lang w:val="en-GB"/>
        </w:rPr>
        <w:t xml:space="preserve"> of the terms of the respondent Government</w:t>
      </w:r>
      <w:r w:rsidR="00457A13" w:rsidRPr="00457A13">
        <w:rPr>
          <w:lang w:val="en-GB"/>
        </w:rPr>
        <w:t>’</w:t>
      </w:r>
      <w:r w:rsidRPr="00457A13">
        <w:rPr>
          <w:lang w:val="en-GB"/>
        </w:rPr>
        <w:t>s declaration under Article 3 of the Convention and of the modalities for ensuring compliance with the undertakings referred to therein;</w:t>
      </w:r>
    </w:p>
    <w:p w:rsidR="00D426A2" w:rsidRPr="00457A13" w:rsidRDefault="00D426A2" w:rsidP="00457A13">
      <w:pPr>
        <w:pStyle w:val="DecList"/>
        <w:rPr>
          <w:lang w:val="en-GB"/>
        </w:rPr>
      </w:pPr>
      <w:r w:rsidRPr="00457A13">
        <w:rPr>
          <w:i/>
          <w:lang w:val="en-GB"/>
        </w:rPr>
        <w:t>Decides</w:t>
      </w:r>
      <w:r w:rsidRPr="00457A13">
        <w:rPr>
          <w:lang w:val="en-GB"/>
        </w:rPr>
        <w:t xml:space="preserve"> to strike the application out of its list of cases in accordance with Article 37 § 1 (c) of the Convention;</w:t>
      </w:r>
    </w:p>
    <w:p w:rsidR="00D426A2" w:rsidRPr="00457A13" w:rsidRDefault="00D426A2" w:rsidP="00457A13">
      <w:pPr>
        <w:pStyle w:val="DecList"/>
        <w:rPr>
          <w:i/>
        </w:rPr>
      </w:pPr>
      <w:r w:rsidRPr="00457A13">
        <w:rPr>
          <w:i/>
        </w:rPr>
        <w:t>Holds</w:t>
      </w:r>
    </w:p>
    <w:p w:rsidR="00D426A2" w:rsidRPr="00457A13" w:rsidRDefault="00D426A2" w:rsidP="00457A13">
      <w:pPr>
        <w:pStyle w:val="DecList"/>
      </w:pPr>
      <w:r w:rsidRPr="00457A13">
        <w:t>(a) that the respondent State is to pay the applicant, within three months, EUR 1,000 (one thousand euros) plus any tax that may be chargeable in respect of costs and expenses to him, to be converted into the national currency at the rate applicable on the date of settlement;</w:t>
      </w:r>
    </w:p>
    <w:p w:rsidR="00D426A2" w:rsidRPr="00457A13" w:rsidRDefault="00D426A2" w:rsidP="00457A13">
      <w:pPr>
        <w:pStyle w:val="DecList"/>
        <w:keepNext/>
        <w:keepLines/>
      </w:pPr>
      <w:r w:rsidRPr="00457A13">
        <w:lastRenderedPageBreak/>
        <w:t xml:space="preserve">(b) </w:t>
      </w:r>
      <w:proofErr w:type="gramStart"/>
      <w:r w:rsidRPr="00457A13">
        <w:t>that</w:t>
      </w:r>
      <w:proofErr w:type="gramEnd"/>
      <w:r w:rsidRPr="00457A13">
        <w:t xml:space="preserve"> from the expiry of the above-mentioned three months until settlement simple interest shall be payable on the above amount at a rate equal to the marginal lending rate of the European Central Bank during the default period plus three percentage points.</w:t>
      </w:r>
    </w:p>
    <w:p w:rsidR="00E93FC7" w:rsidRPr="00457A13" w:rsidRDefault="00E93FC7" w:rsidP="00457A13">
      <w:pPr>
        <w:pStyle w:val="ECHRPara"/>
        <w:keepNext/>
        <w:keepLines/>
        <w:rPr>
          <w:sz w:val="2"/>
          <w:szCs w:val="2"/>
          <w:lang w:val="en-GB"/>
        </w:rPr>
      </w:pPr>
    </w:p>
    <w:p w:rsidR="009912DE" w:rsidRPr="00457A13" w:rsidRDefault="00C75E0F" w:rsidP="00457A13">
      <w:pPr>
        <w:pStyle w:val="DecList"/>
        <w:keepNext/>
        <w:keepLines/>
        <w:rPr>
          <w:lang w:val="en-GB"/>
        </w:rPr>
      </w:pPr>
      <w:r w:rsidRPr="00457A13">
        <w:rPr>
          <w:lang w:val="en-GB"/>
        </w:rPr>
        <w:t xml:space="preserve">Done in English and notified in writing on </w:t>
      </w:r>
      <w:r w:rsidR="00D426A2" w:rsidRPr="00457A13">
        <w:rPr>
          <w:szCs w:val="24"/>
          <w:lang w:val="en-GB"/>
        </w:rPr>
        <w:t>12 October 2017</w:t>
      </w:r>
      <w:r w:rsidRPr="00457A13">
        <w:rPr>
          <w:lang w:val="en-GB"/>
        </w:rPr>
        <w:t>.</w:t>
      </w:r>
    </w:p>
    <w:p w:rsidR="00D426A2" w:rsidRPr="00457A13" w:rsidRDefault="00D426A2" w:rsidP="00457A13">
      <w:pPr>
        <w:pStyle w:val="JuSigned"/>
        <w:keepNext/>
        <w:keepLines/>
        <w:tabs>
          <w:tab w:val="clear" w:pos="851"/>
          <w:tab w:val="clear" w:pos="6407"/>
          <w:tab w:val="center" w:pos="1276"/>
          <w:tab w:val="center" w:pos="6521"/>
        </w:tabs>
      </w:pPr>
      <w:r w:rsidRPr="00457A13">
        <w:tab/>
        <w:t xml:space="preserve">Anne-Marie </w:t>
      </w:r>
      <w:proofErr w:type="spellStart"/>
      <w:r w:rsidRPr="00457A13">
        <w:t>Dougin</w:t>
      </w:r>
      <w:proofErr w:type="spellEnd"/>
      <w:r w:rsidRPr="00457A13">
        <w:tab/>
      </w:r>
      <w:proofErr w:type="spellStart"/>
      <w:r w:rsidRPr="00457A13">
        <w:t>Síofra</w:t>
      </w:r>
      <w:proofErr w:type="spellEnd"/>
      <w:r w:rsidRPr="00457A13">
        <w:t xml:space="preserve"> O</w:t>
      </w:r>
      <w:r w:rsidR="00457A13" w:rsidRPr="00457A13">
        <w:t>’</w:t>
      </w:r>
      <w:r w:rsidRPr="00457A13">
        <w:t>Leary</w:t>
      </w:r>
      <w:r w:rsidRPr="00457A13">
        <w:br/>
      </w:r>
      <w:r w:rsidRPr="00457A13">
        <w:tab/>
        <w:t>Acting Deputy Registrar</w:t>
      </w:r>
      <w:r w:rsidRPr="00457A13">
        <w:tab/>
        <w:t>President</w:t>
      </w:r>
    </w:p>
    <w:sectPr w:rsidR="00D426A2" w:rsidRPr="00457A13" w:rsidSect="0076040F">
      <w:headerReference w:type="even" r:id="rId10"/>
      <w:headerReference w:type="default" r:id="rId11"/>
      <w:headerReference w:type="first" r:id="rId12"/>
      <w:footerReference w:type="first" r:id="rId13"/>
      <w:footnotePr>
        <w:numRestart w:val="eachPage"/>
      </w:foot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A3B" w:rsidRPr="00700638" w:rsidRDefault="00954A3B" w:rsidP="005C4C1E">
      <w:pPr>
        <w:rPr>
          <w:lang w:val="en-GB"/>
        </w:rPr>
      </w:pPr>
      <w:r w:rsidRPr="00700638">
        <w:rPr>
          <w:lang w:val="en-GB"/>
        </w:rPr>
        <w:separator/>
      </w:r>
    </w:p>
  </w:endnote>
  <w:endnote w:type="continuationSeparator" w:id="0">
    <w:p w:rsidR="00954A3B" w:rsidRPr="00700638" w:rsidRDefault="00954A3B" w:rsidP="005C4C1E">
      <w:pPr>
        <w:rPr>
          <w:lang w:val="en-GB"/>
        </w:rPr>
      </w:pPr>
      <w:r w:rsidRPr="00700638">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A2" w:rsidRPr="00D426A2" w:rsidRDefault="00D426A2" w:rsidP="0020718E">
    <w:pPr>
      <w:jc w:val="center"/>
      <w:rPr>
        <w:lang w:val="en-GB"/>
      </w:rPr>
    </w:pPr>
    <w:r>
      <w:rPr>
        <w:noProof/>
      </w:rPr>
      <w:drawing>
        <wp:inline distT="0" distB="0" distL="0" distR="0" wp14:anchorId="4FD11F6B" wp14:editId="24AF275C">
          <wp:extent cx="771525" cy="619125"/>
          <wp:effectExtent l="0" t="0" r="9525" b="9525"/>
          <wp:docPr id="17"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05C7B" w:rsidRPr="00700638" w:rsidRDefault="00954A3B" w:rsidP="002E2C77">
    <w:pPr>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A3B" w:rsidRPr="00700638" w:rsidRDefault="00954A3B" w:rsidP="005C4C1E">
      <w:pPr>
        <w:rPr>
          <w:lang w:val="en-GB"/>
        </w:rPr>
      </w:pPr>
      <w:r w:rsidRPr="00700638">
        <w:rPr>
          <w:lang w:val="en-GB"/>
        </w:rPr>
        <w:separator/>
      </w:r>
    </w:p>
  </w:footnote>
  <w:footnote w:type="continuationSeparator" w:id="0">
    <w:p w:rsidR="00954A3B" w:rsidRPr="00700638" w:rsidRDefault="00954A3B" w:rsidP="005C4C1E">
      <w:pPr>
        <w:rPr>
          <w:lang w:val="en-GB"/>
        </w:rPr>
      </w:pPr>
      <w:r w:rsidRPr="00700638">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7B" w:rsidRPr="00700638" w:rsidRDefault="00D426A2" w:rsidP="0076040F">
    <w:pPr>
      <w:pStyle w:val="ECHRHeader"/>
      <w:rPr>
        <w:lang w:val="en-GB"/>
      </w:rP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1E75F3">
      <w:rPr>
        <w:rStyle w:val="PageNumber"/>
        <w:noProof/>
        <w:lang w:val="en-GB"/>
      </w:rPr>
      <w:t>4</w:t>
    </w:r>
    <w:r>
      <w:rPr>
        <w:rStyle w:val="PageNumber"/>
        <w:lang w:val="en-GB"/>
      </w:rPr>
      <w:fldChar w:fldCharType="end"/>
    </w:r>
    <w:r w:rsidR="00C72A0D" w:rsidRPr="00700638">
      <w:rPr>
        <w:lang w:val="en-GB"/>
      </w:rPr>
      <w:tab/>
    </w:r>
    <w:r>
      <w:rPr>
        <w:lang w:val="en-GB"/>
      </w:rPr>
      <w:t>ZURASHVILI v. GEORGIA</w:t>
    </w:r>
    <w:r w:rsidR="00C72A0D" w:rsidRPr="00700638">
      <w:rPr>
        <w:lang w:val="en-GB"/>
      </w:rP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7B" w:rsidRPr="00700638" w:rsidRDefault="00C72A0D" w:rsidP="0076040F">
    <w:pPr>
      <w:pStyle w:val="ECHRHeader"/>
      <w:rPr>
        <w:lang w:val="en-GB"/>
      </w:rPr>
    </w:pPr>
    <w:r w:rsidRPr="00700638">
      <w:rPr>
        <w:lang w:val="en-GB"/>
      </w:rPr>
      <w:tab/>
    </w:r>
    <w:r w:rsidR="00D426A2">
      <w:rPr>
        <w:lang w:val="en-GB"/>
      </w:rPr>
      <w:t>ZURASHVILI v. GEORGIA</w:t>
    </w:r>
    <w:r w:rsidRPr="00700638">
      <w:rPr>
        <w:lang w:val="en-GB"/>
      </w:rPr>
      <w:t xml:space="preserve"> DECISION</w:t>
    </w:r>
    <w:r w:rsidRPr="00700638">
      <w:rPr>
        <w:lang w:val="en-GB"/>
      </w:rPr>
      <w:tab/>
    </w:r>
    <w:r w:rsidR="00D426A2">
      <w:rPr>
        <w:rStyle w:val="PageNumber"/>
        <w:lang w:val="en-GB"/>
      </w:rPr>
      <w:fldChar w:fldCharType="begin"/>
    </w:r>
    <w:r w:rsidR="00D426A2">
      <w:rPr>
        <w:rStyle w:val="PageNumber"/>
        <w:lang w:val="en-GB"/>
      </w:rPr>
      <w:instrText xml:space="preserve"> PAGE </w:instrText>
    </w:r>
    <w:r w:rsidR="00D426A2">
      <w:rPr>
        <w:rStyle w:val="PageNumber"/>
        <w:lang w:val="en-GB"/>
      </w:rPr>
      <w:fldChar w:fldCharType="separate"/>
    </w:r>
    <w:r w:rsidR="001E75F3">
      <w:rPr>
        <w:rStyle w:val="PageNumber"/>
        <w:noProof/>
        <w:lang w:val="en-GB"/>
      </w:rPr>
      <w:t>5</w:t>
    </w:r>
    <w:r w:rsidR="00D426A2">
      <w:rPr>
        <w:rStyle w:val="PageNumber"/>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A2" w:rsidRPr="00A45145" w:rsidRDefault="00D426A2" w:rsidP="00A45145">
    <w:pPr>
      <w:jc w:val="center"/>
    </w:pPr>
    <w:r>
      <w:rPr>
        <w:noProof/>
      </w:rPr>
      <w:drawing>
        <wp:inline distT="0" distB="0" distL="0" distR="0" wp14:anchorId="409AD231" wp14:editId="0E7E80E3">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05C7B" w:rsidRPr="00700638" w:rsidRDefault="00954A3B" w:rsidP="00EA1004">
    <w:pPr>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87C15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1A259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AE025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0D8C01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BBCB4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BE6B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A124C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38ADC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4C40F8C"/>
    <w:lvl w:ilvl="0">
      <w:start w:val="1"/>
      <w:numFmt w:val="decimal"/>
      <w:pStyle w:val="ListNumber"/>
      <w:lvlText w:val="%1."/>
      <w:lvlJc w:val="left"/>
      <w:pPr>
        <w:tabs>
          <w:tab w:val="num" w:pos="360"/>
        </w:tabs>
        <w:ind w:left="360" w:hanging="360"/>
      </w:pPr>
    </w:lvl>
  </w:abstractNum>
  <w:abstractNum w:abstractNumId="9">
    <w:nsid w:val="FFFFFF89"/>
    <w:multiLevelType w:val="singleLevel"/>
    <w:tmpl w:val="429247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920C1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5C4D5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BB25E0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3"/>
  </w:num>
  <w:num w:numId="18">
    <w:abstractNumId w:val="13"/>
  </w:num>
  <w:num w:numId="19">
    <w:abstractNumId w:val="1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D426A2"/>
    <w:rsid w:val="00024CA4"/>
    <w:rsid w:val="000D2AA5"/>
    <w:rsid w:val="000E34DA"/>
    <w:rsid w:val="00115035"/>
    <w:rsid w:val="001818B5"/>
    <w:rsid w:val="001E75F3"/>
    <w:rsid w:val="00206A52"/>
    <w:rsid w:val="0029715C"/>
    <w:rsid w:val="002B6368"/>
    <w:rsid w:val="003458D0"/>
    <w:rsid w:val="003D2893"/>
    <w:rsid w:val="003F5BAF"/>
    <w:rsid w:val="00457A13"/>
    <w:rsid w:val="005728D4"/>
    <w:rsid w:val="005C4C1E"/>
    <w:rsid w:val="00623174"/>
    <w:rsid w:val="00635391"/>
    <w:rsid w:val="006C406F"/>
    <w:rsid w:val="00700638"/>
    <w:rsid w:val="007104DC"/>
    <w:rsid w:val="00750F4F"/>
    <w:rsid w:val="0076040F"/>
    <w:rsid w:val="007718BF"/>
    <w:rsid w:val="00883450"/>
    <w:rsid w:val="00954A3B"/>
    <w:rsid w:val="00965DB7"/>
    <w:rsid w:val="00987A64"/>
    <w:rsid w:val="009912DE"/>
    <w:rsid w:val="009A722F"/>
    <w:rsid w:val="009E4DD0"/>
    <w:rsid w:val="00A26346"/>
    <w:rsid w:val="00A567CA"/>
    <w:rsid w:val="00A92649"/>
    <w:rsid w:val="00A92D46"/>
    <w:rsid w:val="00B2397A"/>
    <w:rsid w:val="00B67325"/>
    <w:rsid w:val="00B719CC"/>
    <w:rsid w:val="00B90EA9"/>
    <w:rsid w:val="00BA6B27"/>
    <w:rsid w:val="00C138D4"/>
    <w:rsid w:val="00C545EF"/>
    <w:rsid w:val="00C72A0D"/>
    <w:rsid w:val="00C75D1C"/>
    <w:rsid w:val="00C75E0F"/>
    <w:rsid w:val="00C841F3"/>
    <w:rsid w:val="00C974F1"/>
    <w:rsid w:val="00D16E31"/>
    <w:rsid w:val="00D27DAA"/>
    <w:rsid w:val="00D426A2"/>
    <w:rsid w:val="00DF27F6"/>
    <w:rsid w:val="00E50569"/>
    <w:rsid w:val="00E906BA"/>
    <w:rsid w:val="00E93FC7"/>
    <w:rsid w:val="00ED04C3"/>
    <w:rsid w:val="00EE3667"/>
    <w:rsid w:val="00EF6E65"/>
    <w:rsid w:val="00F24A83"/>
    <w:rsid w:val="00F913F2"/>
    <w:rsid w:val="00FE39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545EF"/>
    <w:pPr>
      <w:jc w:val="both"/>
    </w:pPr>
    <w:rPr>
      <w:rFonts w:eastAsiaTheme="minorEastAsia"/>
      <w:sz w:val="24"/>
    </w:rPr>
  </w:style>
  <w:style w:type="paragraph" w:styleId="Heading1">
    <w:name w:val="heading 1"/>
    <w:basedOn w:val="Normal"/>
    <w:next w:val="Normal"/>
    <w:link w:val="Heading1Char"/>
    <w:uiPriority w:val="99"/>
    <w:semiHidden/>
    <w:rsid w:val="00C545E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C545E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C545E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C545E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C545EF"/>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C545E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C545EF"/>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C545E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C545E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basedOn w:val="Normal"/>
    <w:next w:val="JuParaLast"/>
    <w:uiPriority w:val="32"/>
    <w:qFormat/>
    <w:rsid w:val="00C545EF"/>
    <w:pPr>
      <w:tabs>
        <w:tab w:val="center" w:pos="851"/>
        <w:tab w:val="center" w:pos="6407"/>
      </w:tabs>
      <w:spacing w:before="720"/>
      <w:jc w:val="left"/>
    </w:pPr>
  </w:style>
  <w:style w:type="paragraph" w:customStyle="1" w:styleId="ECHRPara">
    <w:name w:val="ECHR_Para"/>
    <w:aliases w:val="Ju_Para"/>
    <w:basedOn w:val="Normal"/>
    <w:link w:val="ECHRParaChar"/>
    <w:uiPriority w:val="12"/>
    <w:qFormat/>
    <w:rsid w:val="00C545EF"/>
    <w:pPr>
      <w:ind w:firstLine="284"/>
    </w:pPr>
  </w:style>
  <w:style w:type="character" w:styleId="PageNumber">
    <w:name w:val="page number"/>
    <w:uiPriority w:val="99"/>
    <w:semiHidden/>
    <w:rsid w:val="00E93FC7"/>
    <w:rPr>
      <w:sz w:val="18"/>
    </w:rPr>
  </w:style>
  <w:style w:type="character" w:styleId="CommentReference">
    <w:name w:val="annotation reference"/>
    <w:uiPriority w:val="99"/>
    <w:semiHidden/>
    <w:rsid w:val="00E93FC7"/>
    <w:rPr>
      <w:sz w:val="16"/>
    </w:rPr>
  </w:style>
  <w:style w:type="paragraph" w:styleId="CommentText">
    <w:name w:val="annotation text"/>
    <w:basedOn w:val="Normal"/>
    <w:link w:val="CommentTextChar"/>
    <w:semiHidden/>
    <w:rsid w:val="00E93FC7"/>
    <w:rPr>
      <w:sz w:val="20"/>
    </w:rPr>
  </w:style>
  <w:style w:type="character" w:customStyle="1" w:styleId="CommentTextChar">
    <w:name w:val="Comment Text Char"/>
    <w:basedOn w:val="DefaultParagraphFont"/>
    <w:link w:val="CommentText"/>
    <w:semiHidden/>
    <w:rsid w:val="00E93FC7"/>
    <w:rPr>
      <w:rFonts w:eastAsiaTheme="minorEastAsia"/>
      <w:sz w:val="20"/>
    </w:rPr>
  </w:style>
  <w:style w:type="paragraph" w:customStyle="1" w:styleId="DecHTitle">
    <w:name w:val="Dec_H_Title"/>
    <w:basedOn w:val="ECHRTitleCentre1"/>
    <w:uiPriority w:val="7"/>
    <w:qFormat/>
    <w:rsid w:val="00C545EF"/>
  </w:style>
  <w:style w:type="paragraph" w:customStyle="1" w:styleId="ECHRTitleCentre2">
    <w:name w:val="ECHR_Title_Centre_2"/>
    <w:aliases w:val="Dec_H_Case"/>
    <w:basedOn w:val="Normal"/>
    <w:next w:val="ECHRPara"/>
    <w:uiPriority w:val="8"/>
    <w:qFormat/>
    <w:rsid w:val="00C545EF"/>
    <w:pPr>
      <w:spacing w:after="240"/>
      <w:jc w:val="center"/>
      <w:outlineLvl w:val="0"/>
    </w:pPr>
    <w:rPr>
      <w:rFonts w:asciiTheme="majorHAnsi" w:hAnsiTheme="majorHAnsi"/>
    </w:rPr>
  </w:style>
  <w:style w:type="paragraph" w:customStyle="1" w:styleId="DummyStyle">
    <w:name w:val="Dummy_Style"/>
    <w:basedOn w:val="Normal"/>
    <w:semiHidden/>
    <w:qFormat/>
    <w:rsid w:val="00C545EF"/>
    <w:rPr>
      <w:color w:val="00B050"/>
    </w:rPr>
  </w:style>
  <w:style w:type="paragraph" w:customStyle="1" w:styleId="ECHRHeader">
    <w:name w:val="ECHR_Header"/>
    <w:aliases w:val="Ju_Header"/>
    <w:basedOn w:val="Header"/>
    <w:uiPriority w:val="4"/>
    <w:qFormat/>
    <w:rsid w:val="00C545EF"/>
    <w:pPr>
      <w:tabs>
        <w:tab w:val="clear" w:pos="4536"/>
        <w:tab w:val="clear" w:pos="9072"/>
        <w:tab w:val="center" w:pos="3686"/>
        <w:tab w:val="right" w:pos="7371"/>
      </w:tabs>
      <w:jc w:val="left"/>
    </w:pPr>
    <w:rPr>
      <w:sz w:val="18"/>
    </w:rPr>
  </w:style>
  <w:style w:type="paragraph" w:styleId="Header">
    <w:name w:val="header"/>
    <w:basedOn w:val="Normal"/>
    <w:link w:val="HeaderChar"/>
    <w:uiPriority w:val="57"/>
    <w:semiHidden/>
    <w:rsid w:val="00C545EF"/>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C545EF"/>
    <w:rPr>
      <w:sz w:val="24"/>
    </w:rPr>
  </w:style>
  <w:style w:type="paragraph" w:styleId="BalloonText">
    <w:name w:val="Balloon Text"/>
    <w:basedOn w:val="Normal"/>
    <w:link w:val="BalloonTextChar"/>
    <w:uiPriority w:val="99"/>
    <w:semiHidden/>
    <w:rsid w:val="00C545EF"/>
    <w:rPr>
      <w:rFonts w:ascii="Tahoma" w:hAnsi="Tahoma" w:cs="Tahoma"/>
      <w:sz w:val="16"/>
      <w:szCs w:val="16"/>
    </w:rPr>
  </w:style>
  <w:style w:type="character" w:customStyle="1" w:styleId="BalloonTextChar">
    <w:name w:val="Balloon Text Char"/>
    <w:basedOn w:val="DefaultParagraphFont"/>
    <w:link w:val="BalloonText"/>
    <w:uiPriority w:val="99"/>
    <w:semiHidden/>
    <w:rsid w:val="00C545EF"/>
    <w:rPr>
      <w:rFonts w:ascii="Tahoma" w:eastAsiaTheme="minorEastAsia" w:hAnsi="Tahoma" w:cs="Tahoma"/>
      <w:sz w:val="16"/>
      <w:szCs w:val="16"/>
    </w:rPr>
  </w:style>
  <w:style w:type="paragraph" w:customStyle="1" w:styleId="JuAppQuestion">
    <w:name w:val="Ju_App_Question"/>
    <w:basedOn w:val="Normal"/>
    <w:uiPriority w:val="5"/>
    <w:qFormat/>
    <w:rsid w:val="00C545EF"/>
    <w:pPr>
      <w:numPr>
        <w:numId w:val="20"/>
      </w:numPr>
      <w:jc w:val="left"/>
    </w:pPr>
    <w:rPr>
      <w:b/>
    </w:rPr>
  </w:style>
  <w:style w:type="paragraph" w:customStyle="1" w:styleId="JuCase">
    <w:name w:val="Ju_Case"/>
    <w:basedOn w:val="Normal"/>
    <w:next w:val="ECHRPara"/>
    <w:uiPriority w:val="10"/>
    <w:semiHidden/>
    <w:rsid w:val="00C545EF"/>
    <w:pPr>
      <w:ind w:firstLine="284"/>
    </w:pPr>
    <w:rPr>
      <w:b/>
    </w:rPr>
  </w:style>
  <w:style w:type="paragraph" w:customStyle="1" w:styleId="ECHRParaQuote">
    <w:name w:val="ECHR_Para_Quote"/>
    <w:aliases w:val="Ju_Quot"/>
    <w:basedOn w:val="Normal"/>
    <w:uiPriority w:val="14"/>
    <w:qFormat/>
    <w:rsid w:val="00C545EF"/>
    <w:pPr>
      <w:spacing w:before="120" w:after="120"/>
      <w:ind w:left="425" w:firstLine="142"/>
    </w:pPr>
    <w:rPr>
      <w:sz w:val="20"/>
    </w:rPr>
  </w:style>
  <w:style w:type="paragraph" w:customStyle="1" w:styleId="JuCourt">
    <w:name w:val="Ju_Court"/>
    <w:basedOn w:val="Normal"/>
    <w:next w:val="Normal"/>
    <w:uiPriority w:val="16"/>
    <w:qFormat/>
    <w:rsid w:val="00C545EF"/>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C545EF"/>
    <w:pPr>
      <w:tabs>
        <w:tab w:val="clear" w:pos="3686"/>
        <w:tab w:val="clear" w:pos="7371"/>
        <w:tab w:val="center" w:pos="6146"/>
        <w:tab w:val="right" w:pos="12293"/>
      </w:tabs>
    </w:pPr>
  </w:style>
  <w:style w:type="paragraph" w:customStyle="1" w:styleId="JuInitialled">
    <w:name w:val="Ju_Initialled"/>
    <w:basedOn w:val="Normal"/>
    <w:uiPriority w:val="31"/>
    <w:qFormat/>
    <w:rsid w:val="00C545EF"/>
    <w:pPr>
      <w:tabs>
        <w:tab w:val="center" w:pos="6407"/>
      </w:tabs>
      <w:spacing w:before="720"/>
      <w:jc w:val="right"/>
    </w:pPr>
  </w:style>
  <w:style w:type="character" w:customStyle="1" w:styleId="JuITMark">
    <w:name w:val="Ju_ITMark"/>
    <w:basedOn w:val="DefaultParagraphFont"/>
    <w:uiPriority w:val="38"/>
    <w:semiHidden/>
    <w:qFormat/>
    <w:rsid w:val="00C545EF"/>
    <w:rPr>
      <w:vanish w:val="0"/>
      <w:color w:val="auto"/>
      <w:sz w:val="14"/>
      <w:bdr w:val="none" w:sz="0" w:space="0" w:color="auto"/>
      <w:shd w:val="clear" w:color="auto" w:fill="BEE5FF" w:themeFill="background1" w:themeFillTint="33"/>
    </w:rPr>
  </w:style>
  <w:style w:type="paragraph" w:customStyle="1" w:styleId="ECHRTitleCentre3">
    <w:name w:val="ECHR_Title_Centre_3"/>
    <w:aliases w:val="Ju_H_Article"/>
    <w:basedOn w:val="Normal"/>
    <w:next w:val="ECHRParaQuote"/>
    <w:uiPriority w:val="27"/>
    <w:qFormat/>
    <w:rsid w:val="00C545E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C545EF"/>
    <w:pPr>
      <w:keepNext/>
      <w:keepLines/>
      <w:spacing w:after="240"/>
      <w:jc w:val="center"/>
      <w:outlineLvl w:val="0"/>
    </w:pPr>
    <w:rPr>
      <w:rFonts w:asciiTheme="majorHAnsi" w:hAnsiTheme="majorHAnsi"/>
      <w:sz w:val="28"/>
    </w:rPr>
  </w:style>
  <w:style w:type="paragraph" w:customStyle="1" w:styleId="JuList">
    <w:name w:val="Ju_List"/>
    <w:basedOn w:val="Normal"/>
    <w:uiPriority w:val="28"/>
    <w:qFormat/>
    <w:rsid w:val="00C545EF"/>
    <w:pPr>
      <w:ind w:left="340" w:hanging="340"/>
    </w:pPr>
  </w:style>
  <w:style w:type="paragraph" w:customStyle="1" w:styleId="ECHRTitle1">
    <w:name w:val="ECHR_Title_1"/>
    <w:aliases w:val="Ju_H_Head"/>
    <w:basedOn w:val="Normal"/>
    <w:next w:val="ECHRPara"/>
    <w:uiPriority w:val="18"/>
    <w:qFormat/>
    <w:rsid w:val="00C545EF"/>
    <w:pPr>
      <w:keepNext/>
      <w:keepLines/>
      <w:spacing w:before="720" w:after="240"/>
      <w:outlineLvl w:val="0"/>
    </w:pPr>
    <w:rPr>
      <w:rFonts w:asciiTheme="majorHAnsi" w:hAnsiTheme="majorHAnsi"/>
      <w:sz w:val="28"/>
    </w:rPr>
  </w:style>
  <w:style w:type="paragraph" w:customStyle="1" w:styleId="JuLista">
    <w:name w:val="Ju_List_a"/>
    <w:basedOn w:val="JuList"/>
    <w:uiPriority w:val="28"/>
    <w:qFormat/>
    <w:rsid w:val="00C545EF"/>
    <w:pPr>
      <w:ind w:left="346" w:firstLine="0"/>
    </w:pPr>
  </w:style>
  <w:style w:type="paragraph" w:customStyle="1" w:styleId="JuListi">
    <w:name w:val="Ju_List_i"/>
    <w:basedOn w:val="Normal"/>
    <w:next w:val="JuLista"/>
    <w:uiPriority w:val="28"/>
    <w:qFormat/>
    <w:rsid w:val="00C545EF"/>
    <w:pPr>
      <w:ind w:left="794"/>
    </w:pPr>
  </w:style>
  <w:style w:type="character" w:customStyle="1" w:styleId="JUNAMES">
    <w:name w:val="JU_NAMES"/>
    <w:uiPriority w:val="17"/>
    <w:qFormat/>
    <w:rsid w:val="00C545EF"/>
    <w:rPr>
      <w:caps w:val="0"/>
      <w:smallCaps/>
    </w:rPr>
  </w:style>
  <w:style w:type="paragraph" w:customStyle="1" w:styleId="JuParaLast">
    <w:name w:val="Ju_Para_Last"/>
    <w:basedOn w:val="Normal"/>
    <w:next w:val="ECHRPara"/>
    <w:uiPriority w:val="30"/>
    <w:qFormat/>
    <w:rsid w:val="00C545EF"/>
    <w:pPr>
      <w:keepNext/>
      <w:keepLines/>
      <w:spacing w:before="240"/>
      <w:ind w:firstLine="284"/>
    </w:pPr>
  </w:style>
  <w:style w:type="paragraph" w:customStyle="1" w:styleId="JuParaSub">
    <w:name w:val="Ju_Para_Sub"/>
    <w:basedOn w:val="ECHRPara"/>
    <w:uiPriority w:val="13"/>
    <w:qFormat/>
    <w:rsid w:val="00C545EF"/>
    <w:pPr>
      <w:ind w:left="284"/>
    </w:pPr>
  </w:style>
  <w:style w:type="paragraph" w:customStyle="1" w:styleId="JuQuotSub">
    <w:name w:val="Ju_Quot_Sub"/>
    <w:basedOn w:val="ECHRParaQuote"/>
    <w:uiPriority w:val="15"/>
    <w:qFormat/>
    <w:rsid w:val="00C545EF"/>
    <w:pPr>
      <w:ind w:left="567"/>
    </w:pPr>
  </w:style>
  <w:style w:type="paragraph" w:customStyle="1" w:styleId="ECHRHeading1">
    <w:name w:val="ECHR_Heading_1"/>
    <w:aliases w:val="Ju_H_I_Roman"/>
    <w:basedOn w:val="Heading1"/>
    <w:next w:val="ECHRPara"/>
    <w:uiPriority w:val="19"/>
    <w:qFormat/>
    <w:rsid w:val="00C545EF"/>
    <w:pPr>
      <w:keepNext/>
      <w:keepLines/>
      <w:tabs>
        <w:tab w:val="left" w:pos="357"/>
      </w:tabs>
      <w:spacing w:before="360" w:after="240"/>
      <w:ind w:left="357" w:hanging="357"/>
      <w:contextualSpacing w:val="0"/>
    </w:pPr>
    <w:rPr>
      <w:b w:val="0"/>
      <w:color w:val="auto"/>
      <w:sz w:val="24"/>
    </w:rPr>
  </w:style>
  <w:style w:type="character" w:customStyle="1" w:styleId="Heading1Char">
    <w:name w:val="Heading 1 Char"/>
    <w:basedOn w:val="DefaultParagraphFont"/>
    <w:link w:val="Heading1"/>
    <w:uiPriority w:val="99"/>
    <w:semiHidden/>
    <w:rsid w:val="00C545EF"/>
    <w:rPr>
      <w:rFonts w:asciiTheme="majorHAnsi" w:eastAsiaTheme="majorEastAsia" w:hAnsiTheme="majorHAnsi" w:cstheme="majorBidi"/>
      <w:b/>
      <w:bCs/>
      <w:color w:val="333333"/>
      <w:sz w:val="28"/>
      <w:szCs w:val="28"/>
    </w:rPr>
  </w:style>
  <w:style w:type="paragraph" w:customStyle="1" w:styleId="ECHRHeading2">
    <w:name w:val="ECHR_Heading_2"/>
    <w:aliases w:val="Ju_H_A"/>
    <w:basedOn w:val="Heading2"/>
    <w:next w:val="ECHRPara"/>
    <w:uiPriority w:val="20"/>
    <w:qFormat/>
    <w:rsid w:val="00C545E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C545EF"/>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Heading3"/>
    <w:next w:val="ECHRPara"/>
    <w:uiPriority w:val="21"/>
    <w:qFormat/>
    <w:rsid w:val="00C545EF"/>
    <w:pPr>
      <w:keepNext/>
      <w:keepLines/>
      <w:tabs>
        <w:tab w:val="left" w:pos="731"/>
      </w:tabs>
      <w:spacing w:before="240" w:after="120" w:line="240" w:lineRule="auto"/>
      <w:ind w:left="732" w:hanging="301"/>
    </w:pPr>
    <w:rPr>
      <w:b w:val="0"/>
      <w:i/>
      <w:color w:val="auto"/>
    </w:rPr>
  </w:style>
  <w:style w:type="character" w:customStyle="1" w:styleId="Heading3Char">
    <w:name w:val="Heading 3 Char"/>
    <w:basedOn w:val="DefaultParagraphFont"/>
    <w:link w:val="Heading3"/>
    <w:uiPriority w:val="99"/>
    <w:semiHidden/>
    <w:rsid w:val="00C545EF"/>
    <w:rPr>
      <w:rFonts w:asciiTheme="majorHAnsi" w:eastAsiaTheme="majorEastAsia" w:hAnsiTheme="majorHAnsi" w:cstheme="majorBidi"/>
      <w:b/>
      <w:bCs/>
      <w:color w:val="5F5F5F"/>
      <w:sz w:val="24"/>
    </w:rPr>
  </w:style>
  <w:style w:type="paragraph" w:customStyle="1" w:styleId="ECHRHeading4">
    <w:name w:val="ECHR_Heading_4"/>
    <w:aliases w:val="Ju_H_a"/>
    <w:basedOn w:val="Heading4"/>
    <w:next w:val="ECHRPara"/>
    <w:uiPriority w:val="22"/>
    <w:qFormat/>
    <w:rsid w:val="00C545EF"/>
    <w:pPr>
      <w:keepNext/>
      <w:keepLines/>
      <w:tabs>
        <w:tab w:val="left" w:pos="975"/>
      </w:tabs>
      <w:spacing w:before="240" w:after="120"/>
      <w:ind w:left="975" w:hanging="340"/>
    </w:pPr>
    <w:rPr>
      <w:i w:val="0"/>
      <w:color w:val="auto"/>
      <w:sz w:val="20"/>
    </w:rPr>
  </w:style>
  <w:style w:type="character" w:customStyle="1" w:styleId="Heading4Char">
    <w:name w:val="Heading 4 Char"/>
    <w:basedOn w:val="DefaultParagraphFont"/>
    <w:link w:val="Heading4"/>
    <w:uiPriority w:val="99"/>
    <w:semiHidden/>
    <w:rsid w:val="00C545EF"/>
    <w:rPr>
      <w:rFonts w:asciiTheme="majorHAnsi" w:eastAsiaTheme="majorEastAsia" w:hAnsiTheme="majorHAnsi" w:cstheme="majorBidi"/>
      <w:b/>
      <w:bCs/>
      <w:i/>
      <w:iCs/>
      <w:color w:val="777777"/>
      <w:sz w:val="24"/>
    </w:rPr>
  </w:style>
  <w:style w:type="paragraph" w:customStyle="1" w:styleId="ECHRHeading5">
    <w:name w:val="ECHR_Heading_5"/>
    <w:aliases w:val="Ju_H_i"/>
    <w:basedOn w:val="Heading5"/>
    <w:next w:val="ECHRPara"/>
    <w:uiPriority w:val="23"/>
    <w:qFormat/>
    <w:rsid w:val="00C545EF"/>
    <w:pPr>
      <w:keepNext/>
      <w:keepLines/>
      <w:tabs>
        <w:tab w:val="left" w:pos="1191"/>
      </w:tabs>
      <w:spacing w:before="240" w:after="120"/>
      <w:ind w:left="1190" w:hanging="357"/>
    </w:pPr>
    <w:rPr>
      <w:b w:val="0"/>
      <w:i/>
      <w:color w:val="auto"/>
      <w:sz w:val="20"/>
    </w:rPr>
  </w:style>
  <w:style w:type="character" w:customStyle="1" w:styleId="Heading5Char">
    <w:name w:val="Heading 5 Char"/>
    <w:basedOn w:val="DefaultParagraphFont"/>
    <w:link w:val="Heading5"/>
    <w:uiPriority w:val="99"/>
    <w:semiHidden/>
    <w:rsid w:val="00C545EF"/>
    <w:rPr>
      <w:rFonts w:asciiTheme="majorHAnsi" w:eastAsiaTheme="majorEastAsia" w:hAnsiTheme="majorHAnsi" w:cstheme="majorBidi"/>
      <w:b/>
      <w:bCs/>
      <w:color w:val="808080"/>
    </w:rPr>
  </w:style>
  <w:style w:type="paragraph" w:customStyle="1" w:styleId="ECHRHeading6">
    <w:name w:val="ECHR_Heading_6"/>
    <w:aliases w:val="Ju_H_alpha"/>
    <w:basedOn w:val="Heading6"/>
    <w:next w:val="ECHRPara"/>
    <w:uiPriority w:val="24"/>
    <w:qFormat/>
    <w:rsid w:val="00C545EF"/>
    <w:pPr>
      <w:keepNext/>
      <w:keepLines/>
      <w:tabs>
        <w:tab w:val="left" w:pos="1372"/>
      </w:tabs>
      <w:spacing w:before="240" w:after="120" w:line="240" w:lineRule="auto"/>
      <w:ind w:left="1373" w:hanging="335"/>
    </w:pPr>
    <w:rPr>
      <w:b w:val="0"/>
      <w:i w:val="0"/>
      <w:color w:val="auto"/>
      <w:sz w:val="20"/>
    </w:rPr>
  </w:style>
  <w:style w:type="character" w:customStyle="1" w:styleId="Heading6Char">
    <w:name w:val="Heading 6 Char"/>
    <w:basedOn w:val="DefaultParagraphFont"/>
    <w:link w:val="Heading6"/>
    <w:uiPriority w:val="99"/>
    <w:semiHidden/>
    <w:rsid w:val="00C545EF"/>
    <w:rPr>
      <w:rFonts w:asciiTheme="majorHAnsi" w:eastAsiaTheme="majorEastAsia" w:hAnsiTheme="majorHAnsi" w:cstheme="majorBidi"/>
      <w:b/>
      <w:bCs/>
      <w:i/>
      <w:iCs/>
      <w:color w:val="7F7F7F" w:themeColor="text1" w:themeTint="80"/>
      <w:sz w:val="24"/>
      <w:lang w:bidi="en-US"/>
    </w:rPr>
  </w:style>
  <w:style w:type="paragraph" w:customStyle="1" w:styleId="ECHRHeading7">
    <w:name w:val="ECHR_Heading_7"/>
    <w:aliases w:val="Ju_H_–"/>
    <w:basedOn w:val="Heading7"/>
    <w:next w:val="ECHRPara"/>
    <w:uiPriority w:val="25"/>
    <w:qFormat/>
    <w:rsid w:val="00C545EF"/>
    <w:pPr>
      <w:keepNext/>
      <w:keepLines/>
      <w:spacing w:before="240" w:after="120"/>
      <w:ind w:left="1236"/>
    </w:pPr>
    <w:rPr>
      <w:sz w:val="20"/>
    </w:rPr>
  </w:style>
  <w:style w:type="character" w:customStyle="1" w:styleId="Heading7Char">
    <w:name w:val="Heading 7 Char"/>
    <w:basedOn w:val="DefaultParagraphFont"/>
    <w:link w:val="Heading7"/>
    <w:uiPriority w:val="99"/>
    <w:semiHidden/>
    <w:rsid w:val="00C545EF"/>
    <w:rPr>
      <w:rFonts w:asciiTheme="majorHAnsi" w:eastAsiaTheme="majorEastAsia" w:hAnsiTheme="majorHAnsi" w:cstheme="majorBidi"/>
      <w:i/>
      <w:iCs/>
      <w:lang w:bidi="en-US"/>
    </w:rPr>
  </w:style>
  <w:style w:type="paragraph" w:customStyle="1" w:styleId="JuTitle">
    <w:name w:val="Ju_Title"/>
    <w:basedOn w:val="Normal"/>
    <w:next w:val="ECHRPara"/>
    <w:uiPriority w:val="3"/>
    <w:qFormat/>
    <w:rsid w:val="00C545EF"/>
    <w:pPr>
      <w:spacing w:before="720" w:after="240"/>
      <w:jc w:val="center"/>
      <w:outlineLvl w:val="0"/>
    </w:pPr>
    <w:rPr>
      <w:rFonts w:asciiTheme="majorHAnsi" w:hAnsiTheme="majorHAnsi"/>
      <w:b/>
      <w:caps/>
    </w:rPr>
  </w:style>
  <w:style w:type="paragraph" w:customStyle="1" w:styleId="DecList">
    <w:name w:val="Dec_List"/>
    <w:basedOn w:val="Normal"/>
    <w:uiPriority w:val="9"/>
    <w:qFormat/>
    <w:rsid w:val="00C545EF"/>
    <w:pPr>
      <w:spacing w:before="240"/>
      <w:ind w:left="284"/>
    </w:pPr>
  </w:style>
  <w:style w:type="paragraph" w:customStyle="1" w:styleId="ECHRDecisionBody">
    <w:name w:val="ECHR_Decision_Body"/>
    <w:aliases w:val="Ju_Judges"/>
    <w:basedOn w:val="Normal"/>
    <w:uiPriority w:val="11"/>
    <w:qFormat/>
    <w:rsid w:val="00C545EF"/>
    <w:pPr>
      <w:tabs>
        <w:tab w:val="left" w:pos="567"/>
        <w:tab w:val="left" w:pos="1134"/>
      </w:tabs>
      <w:jc w:val="left"/>
    </w:pPr>
  </w:style>
  <w:style w:type="paragraph" w:customStyle="1" w:styleId="OpiH1">
    <w:name w:val="Opi_H_1"/>
    <w:basedOn w:val="ECHRHeading2"/>
    <w:uiPriority w:val="42"/>
    <w:semiHidden/>
    <w:qFormat/>
    <w:rsid w:val="00C545EF"/>
    <w:pPr>
      <w:ind w:left="635" w:hanging="357"/>
      <w:outlineLvl w:val="2"/>
    </w:pPr>
  </w:style>
  <w:style w:type="paragraph" w:customStyle="1" w:styleId="OpiHa">
    <w:name w:val="Opi_H_a"/>
    <w:basedOn w:val="ECHRHeading3"/>
    <w:uiPriority w:val="43"/>
    <w:semiHidden/>
    <w:qFormat/>
    <w:rsid w:val="00C545EF"/>
    <w:pPr>
      <w:ind w:left="833" w:hanging="357"/>
      <w:outlineLvl w:val="3"/>
    </w:pPr>
    <w:rPr>
      <w:b/>
      <w:i w:val="0"/>
      <w:sz w:val="20"/>
    </w:rPr>
  </w:style>
  <w:style w:type="paragraph" w:customStyle="1" w:styleId="OpiHA0">
    <w:name w:val="Opi_H_A"/>
    <w:basedOn w:val="ECHRHeading1"/>
    <w:next w:val="OpiPara"/>
    <w:uiPriority w:val="41"/>
    <w:semiHidden/>
    <w:qFormat/>
    <w:rsid w:val="00C545EF"/>
    <w:pPr>
      <w:tabs>
        <w:tab w:val="clear" w:pos="357"/>
      </w:tabs>
      <w:outlineLvl w:val="1"/>
    </w:pPr>
    <w:rPr>
      <w:b/>
    </w:rPr>
  </w:style>
  <w:style w:type="paragraph" w:customStyle="1" w:styleId="OpiHi">
    <w:name w:val="Opi_H_i"/>
    <w:basedOn w:val="ECHRHeading4"/>
    <w:uiPriority w:val="44"/>
    <w:semiHidden/>
    <w:qFormat/>
    <w:rsid w:val="00C545EF"/>
    <w:pPr>
      <w:ind w:left="1037" w:hanging="357"/>
      <w:outlineLvl w:val="4"/>
    </w:pPr>
    <w:rPr>
      <w:b w:val="0"/>
      <w:i/>
    </w:rPr>
  </w:style>
  <w:style w:type="paragraph" w:customStyle="1" w:styleId="OpiPara">
    <w:name w:val="Opi_Para"/>
    <w:basedOn w:val="ECHRPara"/>
    <w:uiPriority w:val="46"/>
    <w:semiHidden/>
    <w:qFormat/>
    <w:rsid w:val="00C545EF"/>
  </w:style>
  <w:style w:type="paragraph" w:customStyle="1" w:styleId="OpiParaSub">
    <w:name w:val="Opi_Para_Sub"/>
    <w:basedOn w:val="JuParaSub"/>
    <w:uiPriority w:val="47"/>
    <w:semiHidden/>
    <w:qFormat/>
    <w:rsid w:val="00C545EF"/>
  </w:style>
  <w:style w:type="character" w:customStyle="1" w:styleId="Heading8Char">
    <w:name w:val="Heading 8 Char"/>
    <w:basedOn w:val="DefaultParagraphFont"/>
    <w:link w:val="Heading8"/>
    <w:uiPriority w:val="99"/>
    <w:semiHidden/>
    <w:rsid w:val="00C545E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C545EF"/>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C545E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C545EF"/>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C545EF"/>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C545EF"/>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C545EF"/>
    <w:rPr>
      <w:b/>
      <w:bCs/>
    </w:rPr>
  </w:style>
  <w:style w:type="character" w:styleId="Emphasis">
    <w:name w:val="Emphasis"/>
    <w:uiPriority w:val="99"/>
    <w:semiHidden/>
    <w:qFormat/>
    <w:rsid w:val="00C545EF"/>
    <w:rPr>
      <w:b/>
      <w:bCs/>
      <w:i/>
      <w:iCs/>
      <w:spacing w:val="10"/>
      <w:bdr w:val="none" w:sz="0" w:space="0" w:color="auto"/>
      <w:shd w:val="clear" w:color="auto" w:fill="auto"/>
    </w:rPr>
  </w:style>
  <w:style w:type="paragraph" w:styleId="NoSpacing">
    <w:name w:val="No Spacing"/>
    <w:basedOn w:val="Normal"/>
    <w:link w:val="NoSpacingChar"/>
    <w:semiHidden/>
    <w:qFormat/>
    <w:rsid w:val="00C545EF"/>
    <w:rPr>
      <w:sz w:val="22"/>
    </w:rPr>
  </w:style>
  <w:style w:type="character" w:customStyle="1" w:styleId="NoSpacingChar">
    <w:name w:val="No Spacing Char"/>
    <w:basedOn w:val="DefaultParagraphFont"/>
    <w:link w:val="NoSpacing"/>
    <w:semiHidden/>
    <w:rsid w:val="00C545EF"/>
    <w:rPr>
      <w:rFonts w:eastAsiaTheme="minorEastAsia"/>
    </w:rPr>
  </w:style>
  <w:style w:type="paragraph" w:styleId="ListParagraph">
    <w:name w:val="List Paragraph"/>
    <w:basedOn w:val="Normal"/>
    <w:uiPriority w:val="99"/>
    <w:semiHidden/>
    <w:qFormat/>
    <w:rsid w:val="00C545EF"/>
    <w:pPr>
      <w:ind w:left="720"/>
      <w:contextualSpacing/>
    </w:pPr>
  </w:style>
  <w:style w:type="paragraph" w:styleId="Quote">
    <w:name w:val="Quote"/>
    <w:basedOn w:val="Normal"/>
    <w:next w:val="Normal"/>
    <w:link w:val="QuoteChar"/>
    <w:uiPriority w:val="99"/>
    <w:semiHidden/>
    <w:qFormat/>
    <w:rsid w:val="00C545EF"/>
    <w:pPr>
      <w:spacing w:before="200"/>
      <w:ind w:left="360" w:right="360"/>
    </w:pPr>
    <w:rPr>
      <w:i/>
      <w:iCs/>
      <w:sz w:val="22"/>
      <w:lang w:bidi="en-US"/>
    </w:rPr>
  </w:style>
  <w:style w:type="character" w:customStyle="1" w:styleId="QuoteChar">
    <w:name w:val="Quote Char"/>
    <w:basedOn w:val="DefaultParagraphFont"/>
    <w:link w:val="Quote"/>
    <w:uiPriority w:val="99"/>
    <w:semiHidden/>
    <w:rsid w:val="00C545EF"/>
    <w:rPr>
      <w:rFonts w:eastAsiaTheme="minorEastAsia"/>
      <w:i/>
      <w:iCs/>
      <w:lang w:bidi="en-US"/>
    </w:rPr>
  </w:style>
  <w:style w:type="paragraph" w:styleId="IntenseQuote">
    <w:name w:val="Intense Quote"/>
    <w:basedOn w:val="Normal"/>
    <w:next w:val="Normal"/>
    <w:link w:val="IntenseQuoteChar"/>
    <w:uiPriority w:val="99"/>
    <w:semiHidden/>
    <w:qFormat/>
    <w:rsid w:val="00C545EF"/>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C545EF"/>
    <w:rPr>
      <w:rFonts w:eastAsiaTheme="minorEastAsia"/>
      <w:b/>
      <w:bCs/>
      <w:i/>
      <w:iCs/>
      <w:lang w:bidi="en-US"/>
    </w:rPr>
  </w:style>
  <w:style w:type="character" w:styleId="SubtleEmphasis">
    <w:name w:val="Subtle Emphasis"/>
    <w:uiPriority w:val="99"/>
    <w:semiHidden/>
    <w:qFormat/>
    <w:rsid w:val="00C545EF"/>
    <w:rPr>
      <w:i/>
      <w:iCs/>
    </w:rPr>
  </w:style>
  <w:style w:type="character" w:styleId="IntenseEmphasis">
    <w:name w:val="Intense Emphasis"/>
    <w:uiPriority w:val="99"/>
    <w:semiHidden/>
    <w:qFormat/>
    <w:rsid w:val="00C545EF"/>
    <w:rPr>
      <w:b/>
      <w:bCs/>
    </w:rPr>
  </w:style>
  <w:style w:type="character" w:styleId="SubtleReference">
    <w:name w:val="Subtle Reference"/>
    <w:uiPriority w:val="99"/>
    <w:semiHidden/>
    <w:qFormat/>
    <w:rsid w:val="00C545EF"/>
    <w:rPr>
      <w:smallCaps/>
    </w:rPr>
  </w:style>
  <w:style w:type="character" w:styleId="IntenseReference">
    <w:name w:val="Intense Reference"/>
    <w:uiPriority w:val="99"/>
    <w:semiHidden/>
    <w:qFormat/>
    <w:rsid w:val="00C545EF"/>
    <w:rPr>
      <w:smallCaps/>
      <w:spacing w:val="5"/>
      <w:u w:val="single"/>
    </w:rPr>
  </w:style>
  <w:style w:type="character" w:styleId="BookTitle">
    <w:name w:val="Book Title"/>
    <w:uiPriority w:val="99"/>
    <w:semiHidden/>
    <w:qFormat/>
    <w:rsid w:val="00C545EF"/>
    <w:rPr>
      <w:i/>
      <w:iCs/>
      <w:smallCaps/>
      <w:spacing w:val="5"/>
    </w:rPr>
  </w:style>
  <w:style w:type="paragraph" w:styleId="TOCHeading">
    <w:name w:val="TOC Heading"/>
    <w:basedOn w:val="Normal"/>
    <w:next w:val="Normal"/>
    <w:uiPriority w:val="99"/>
    <w:semiHidden/>
    <w:qFormat/>
    <w:rsid w:val="00C545EF"/>
    <w:pPr>
      <w:keepNext/>
      <w:keepLines/>
      <w:spacing w:before="240"/>
      <w:contextualSpacing/>
      <w:jc w:val="center"/>
    </w:pPr>
    <w:rPr>
      <w:rFonts w:asciiTheme="majorHAnsi" w:eastAsiaTheme="minorHAnsi" w:hAnsiTheme="majorHAnsi"/>
      <w:b/>
      <w:color w:val="474747" w:themeColor="accent3" w:themeShade="BF"/>
      <w:sz w:val="28"/>
    </w:rPr>
  </w:style>
  <w:style w:type="numbering" w:styleId="111111">
    <w:name w:val="Outline List 2"/>
    <w:basedOn w:val="NoList"/>
    <w:uiPriority w:val="99"/>
    <w:semiHidden/>
    <w:unhideWhenUsed/>
    <w:rsid w:val="00E93FC7"/>
    <w:pPr>
      <w:numPr>
        <w:numId w:val="3"/>
      </w:numPr>
    </w:pPr>
  </w:style>
  <w:style w:type="numbering" w:styleId="1ai">
    <w:name w:val="Outline List 1"/>
    <w:basedOn w:val="NoList"/>
    <w:uiPriority w:val="99"/>
    <w:semiHidden/>
    <w:unhideWhenUsed/>
    <w:rsid w:val="00E93FC7"/>
    <w:pPr>
      <w:numPr>
        <w:numId w:val="4"/>
      </w:numPr>
    </w:pPr>
  </w:style>
  <w:style w:type="numbering" w:styleId="ArticleSection">
    <w:name w:val="Outline List 3"/>
    <w:basedOn w:val="NoList"/>
    <w:uiPriority w:val="99"/>
    <w:semiHidden/>
    <w:unhideWhenUsed/>
    <w:rsid w:val="00E93FC7"/>
    <w:pPr>
      <w:numPr>
        <w:numId w:val="5"/>
      </w:numPr>
    </w:pPr>
  </w:style>
  <w:style w:type="paragraph" w:styleId="Bibliography">
    <w:name w:val="Bibliography"/>
    <w:basedOn w:val="Normal"/>
    <w:next w:val="Normal"/>
    <w:uiPriority w:val="37"/>
    <w:semiHidden/>
    <w:unhideWhenUsed/>
    <w:rsid w:val="00E93FC7"/>
  </w:style>
  <w:style w:type="paragraph" w:styleId="BlockText">
    <w:name w:val="Block Text"/>
    <w:basedOn w:val="Normal"/>
    <w:uiPriority w:val="99"/>
    <w:semiHidden/>
    <w:unhideWhenUsed/>
    <w:rsid w:val="00E93FC7"/>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unhideWhenUsed/>
    <w:rsid w:val="00E93FC7"/>
    <w:pPr>
      <w:spacing w:after="120"/>
    </w:pPr>
  </w:style>
  <w:style w:type="character" w:customStyle="1" w:styleId="BodyTextChar">
    <w:name w:val="Body Text Char"/>
    <w:basedOn w:val="DefaultParagraphFont"/>
    <w:link w:val="BodyText"/>
    <w:uiPriority w:val="99"/>
    <w:semiHidden/>
    <w:rsid w:val="00E93FC7"/>
    <w:rPr>
      <w:rFonts w:eastAsiaTheme="minorEastAsia"/>
      <w:sz w:val="24"/>
    </w:rPr>
  </w:style>
  <w:style w:type="paragraph" w:styleId="BodyText2">
    <w:name w:val="Body Text 2"/>
    <w:basedOn w:val="Normal"/>
    <w:link w:val="BodyText2Char"/>
    <w:uiPriority w:val="99"/>
    <w:semiHidden/>
    <w:unhideWhenUsed/>
    <w:rsid w:val="00E93FC7"/>
    <w:pPr>
      <w:spacing w:after="120" w:line="480" w:lineRule="auto"/>
    </w:pPr>
  </w:style>
  <w:style w:type="character" w:customStyle="1" w:styleId="BodyText2Char">
    <w:name w:val="Body Text 2 Char"/>
    <w:basedOn w:val="DefaultParagraphFont"/>
    <w:link w:val="BodyText2"/>
    <w:uiPriority w:val="99"/>
    <w:semiHidden/>
    <w:rsid w:val="00E93FC7"/>
    <w:rPr>
      <w:rFonts w:eastAsiaTheme="minorEastAsia"/>
      <w:sz w:val="24"/>
    </w:rPr>
  </w:style>
  <w:style w:type="paragraph" w:styleId="BodyText3">
    <w:name w:val="Body Text 3"/>
    <w:basedOn w:val="Normal"/>
    <w:link w:val="BodyText3Char"/>
    <w:uiPriority w:val="99"/>
    <w:semiHidden/>
    <w:unhideWhenUsed/>
    <w:rsid w:val="00E93FC7"/>
    <w:pPr>
      <w:spacing w:after="120"/>
    </w:pPr>
    <w:rPr>
      <w:sz w:val="16"/>
      <w:szCs w:val="16"/>
    </w:rPr>
  </w:style>
  <w:style w:type="character" w:customStyle="1" w:styleId="BodyText3Char">
    <w:name w:val="Body Text 3 Char"/>
    <w:basedOn w:val="DefaultParagraphFont"/>
    <w:link w:val="BodyText3"/>
    <w:uiPriority w:val="99"/>
    <w:semiHidden/>
    <w:rsid w:val="00E93FC7"/>
    <w:rPr>
      <w:rFonts w:eastAsiaTheme="minorEastAsia"/>
      <w:sz w:val="16"/>
      <w:szCs w:val="16"/>
    </w:rPr>
  </w:style>
  <w:style w:type="paragraph" w:styleId="BodyTextFirstIndent">
    <w:name w:val="Body Text First Indent"/>
    <w:basedOn w:val="BodyText"/>
    <w:link w:val="BodyTextFirstIndentChar"/>
    <w:uiPriority w:val="99"/>
    <w:semiHidden/>
    <w:unhideWhenUsed/>
    <w:rsid w:val="00E93FC7"/>
    <w:pPr>
      <w:spacing w:after="0"/>
      <w:ind w:firstLine="360"/>
    </w:pPr>
  </w:style>
  <w:style w:type="character" w:customStyle="1" w:styleId="BodyTextFirstIndentChar">
    <w:name w:val="Body Text First Indent Char"/>
    <w:basedOn w:val="BodyTextChar"/>
    <w:link w:val="BodyTextFirstIndent"/>
    <w:uiPriority w:val="99"/>
    <w:semiHidden/>
    <w:rsid w:val="00E93FC7"/>
    <w:rPr>
      <w:rFonts w:eastAsiaTheme="minorEastAsia"/>
      <w:sz w:val="24"/>
    </w:rPr>
  </w:style>
  <w:style w:type="paragraph" w:styleId="BodyTextIndent">
    <w:name w:val="Body Text Indent"/>
    <w:basedOn w:val="Normal"/>
    <w:link w:val="BodyTextIndentChar"/>
    <w:uiPriority w:val="99"/>
    <w:semiHidden/>
    <w:unhideWhenUsed/>
    <w:rsid w:val="00E93FC7"/>
    <w:pPr>
      <w:spacing w:after="120"/>
      <w:ind w:left="283"/>
    </w:pPr>
  </w:style>
  <w:style w:type="character" w:customStyle="1" w:styleId="BodyTextIndentChar">
    <w:name w:val="Body Text Indent Char"/>
    <w:basedOn w:val="DefaultParagraphFont"/>
    <w:link w:val="BodyTextIndent"/>
    <w:uiPriority w:val="99"/>
    <w:semiHidden/>
    <w:rsid w:val="00E93FC7"/>
    <w:rPr>
      <w:rFonts w:eastAsiaTheme="minorEastAsia"/>
      <w:sz w:val="24"/>
    </w:rPr>
  </w:style>
  <w:style w:type="paragraph" w:styleId="BodyTextFirstIndent2">
    <w:name w:val="Body Text First Indent 2"/>
    <w:basedOn w:val="BodyTextIndent"/>
    <w:link w:val="BodyTextFirstIndent2Char"/>
    <w:uiPriority w:val="99"/>
    <w:semiHidden/>
    <w:unhideWhenUsed/>
    <w:rsid w:val="00E93FC7"/>
    <w:pPr>
      <w:spacing w:after="0"/>
      <w:ind w:left="360" w:firstLine="360"/>
    </w:pPr>
  </w:style>
  <w:style w:type="character" w:customStyle="1" w:styleId="BodyTextFirstIndent2Char">
    <w:name w:val="Body Text First Indent 2 Char"/>
    <w:basedOn w:val="BodyTextIndentChar"/>
    <w:link w:val="BodyTextFirstIndent2"/>
    <w:uiPriority w:val="99"/>
    <w:semiHidden/>
    <w:rsid w:val="00E93FC7"/>
    <w:rPr>
      <w:rFonts w:eastAsiaTheme="minorEastAsia"/>
      <w:sz w:val="24"/>
    </w:rPr>
  </w:style>
  <w:style w:type="paragraph" w:styleId="BodyTextIndent2">
    <w:name w:val="Body Text Indent 2"/>
    <w:basedOn w:val="Normal"/>
    <w:link w:val="BodyTextIndent2Char"/>
    <w:uiPriority w:val="99"/>
    <w:semiHidden/>
    <w:unhideWhenUsed/>
    <w:rsid w:val="00E93FC7"/>
    <w:pPr>
      <w:spacing w:after="120" w:line="480" w:lineRule="auto"/>
      <w:ind w:left="283"/>
    </w:pPr>
  </w:style>
  <w:style w:type="character" w:customStyle="1" w:styleId="BodyTextIndent2Char">
    <w:name w:val="Body Text Indent 2 Char"/>
    <w:basedOn w:val="DefaultParagraphFont"/>
    <w:link w:val="BodyTextIndent2"/>
    <w:uiPriority w:val="99"/>
    <w:semiHidden/>
    <w:rsid w:val="00E93FC7"/>
    <w:rPr>
      <w:rFonts w:eastAsiaTheme="minorEastAsia"/>
      <w:sz w:val="24"/>
    </w:rPr>
  </w:style>
  <w:style w:type="paragraph" w:styleId="BodyTextIndent3">
    <w:name w:val="Body Text Indent 3"/>
    <w:basedOn w:val="Normal"/>
    <w:link w:val="BodyTextIndent3Char"/>
    <w:uiPriority w:val="99"/>
    <w:semiHidden/>
    <w:unhideWhenUsed/>
    <w:rsid w:val="00E93F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3FC7"/>
    <w:rPr>
      <w:rFonts w:eastAsiaTheme="minorEastAsia"/>
      <w:sz w:val="16"/>
      <w:szCs w:val="16"/>
    </w:rPr>
  </w:style>
  <w:style w:type="paragraph" w:styleId="Caption">
    <w:name w:val="caption"/>
    <w:basedOn w:val="Normal"/>
    <w:next w:val="Normal"/>
    <w:uiPriority w:val="99"/>
    <w:semiHidden/>
    <w:qFormat/>
    <w:rsid w:val="00E93FC7"/>
    <w:pPr>
      <w:spacing w:after="200"/>
    </w:pPr>
    <w:rPr>
      <w:b/>
      <w:bCs/>
      <w:color w:val="0072BC" w:themeColor="accent1"/>
      <w:sz w:val="18"/>
      <w:szCs w:val="18"/>
    </w:rPr>
  </w:style>
  <w:style w:type="paragraph" w:styleId="Closing">
    <w:name w:val="Closing"/>
    <w:basedOn w:val="Normal"/>
    <w:link w:val="ClosingChar"/>
    <w:uiPriority w:val="99"/>
    <w:semiHidden/>
    <w:unhideWhenUsed/>
    <w:rsid w:val="00E93FC7"/>
    <w:pPr>
      <w:ind w:left="4252"/>
    </w:pPr>
  </w:style>
  <w:style w:type="character" w:customStyle="1" w:styleId="ClosingChar">
    <w:name w:val="Closing Char"/>
    <w:basedOn w:val="DefaultParagraphFont"/>
    <w:link w:val="Closing"/>
    <w:uiPriority w:val="99"/>
    <w:semiHidden/>
    <w:rsid w:val="00E93FC7"/>
    <w:rPr>
      <w:rFonts w:eastAsiaTheme="minorEastAsia"/>
      <w:sz w:val="24"/>
    </w:rPr>
  </w:style>
  <w:style w:type="table" w:styleId="ColorfulGrid">
    <w:name w:val="Colorful Grid"/>
    <w:basedOn w:val="TableNormal"/>
    <w:uiPriority w:val="73"/>
    <w:semiHidden/>
    <w:rsid w:val="00E93FC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93FC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E93FC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E93FC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E93FC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E93FC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E93FC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E93F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93F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E93F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E93F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E93F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E93F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E93F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E93FC7"/>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93FC7"/>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93FC7"/>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93FC7"/>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E93FC7"/>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93FC7"/>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93FC7"/>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E93FC7"/>
    <w:rPr>
      <w:b/>
      <w:bCs/>
      <w:szCs w:val="20"/>
    </w:rPr>
  </w:style>
  <w:style w:type="character" w:customStyle="1" w:styleId="CommentSubjectChar">
    <w:name w:val="Comment Subject Char"/>
    <w:basedOn w:val="CommentTextChar"/>
    <w:link w:val="CommentSubject"/>
    <w:uiPriority w:val="99"/>
    <w:semiHidden/>
    <w:rsid w:val="00E93FC7"/>
    <w:rPr>
      <w:rFonts w:eastAsiaTheme="minorEastAsia"/>
      <w:b/>
      <w:bCs/>
      <w:sz w:val="20"/>
      <w:szCs w:val="20"/>
    </w:rPr>
  </w:style>
  <w:style w:type="table" w:styleId="DarkList">
    <w:name w:val="Dark List"/>
    <w:basedOn w:val="TableNormal"/>
    <w:uiPriority w:val="70"/>
    <w:semiHidden/>
    <w:rsid w:val="00E93FC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93FC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E93FC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E93FC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E93FC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E93FC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E93FC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E93FC7"/>
  </w:style>
  <w:style w:type="character" w:customStyle="1" w:styleId="DateChar">
    <w:name w:val="Date Char"/>
    <w:basedOn w:val="DefaultParagraphFont"/>
    <w:link w:val="Date"/>
    <w:uiPriority w:val="99"/>
    <w:semiHidden/>
    <w:rsid w:val="00E93FC7"/>
    <w:rPr>
      <w:rFonts w:eastAsiaTheme="minorEastAsia"/>
      <w:sz w:val="24"/>
    </w:rPr>
  </w:style>
  <w:style w:type="paragraph" w:styleId="DocumentMap">
    <w:name w:val="Document Map"/>
    <w:basedOn w:val="Normal"/>
    <w:link w:val="DocumentMapChar"/>
    <w:uiPriority w:val="99"/>
    <w:semiHidden/>
    <w:unhideWhenUsed/>
    <w:rsid w:val="00E93FC7"/>
    <w:rPr>
      <w:rFonts w:ascii="Tahoma" w:hAnsi="Tahoma" w:cs="Tahoma"/>
      <w:sz w:val="16"/>
      <w:szCs w:val="16"/>
    </w:rPr>
  </w:style>
  <w:style w:type="character" w:customStyle="1" w:styleId="DocumentMapChar">
    <w:name w:val="Document Map Char"/>
    <w:basedOn w:val="DefaultParagraphFont"/>
    <w:link w:val="DocumentMap"/>
    <w:uiPriority w:val="99"/>
    <w:semiHidden/>
    <w:rsid w:val="00E93FC7"/>
    <w:rPr>
      <w:rFonts w:ascii="Tahoma" w:eastAsiaTheme="minorEastAsia" w:hAnsi="Tahoma" w:cs="Tahoma"/>
      <w:sz w:val="16"/>
      <w:szCs w:val="16"/>
    </w:rPr>
  </w:style>
  <w:style w:type="paragraph" w:styleId="E-mailSignature">
    <w:name w:val="E-mail Signature"/>
    <w:basedOn w:val="Normal"/>
    <w:link w:val="E-mailSignatureChar"/>
    <w:uiPriority w:val="99"/>
    <w:semiHidden/>
    <w:unhideWhenUsed/>
    <w:rsid w:val="00E93FC7"/>
  </w:style>
  <w:style w:type="character" w:customStyle="1" w:styleId="E-mailSignatureChar">
    <w:name w:val="E-mail Signature Char"/>
    <w:basedOn w:val="DefaultParagraphFont"/>
    <w:link w:val="E-mailSignature"/>
    <w:uiPriority w:val="99"/>
    <w:semiHidden/>
    <w:rsid w:val="00E93FC7"/>
    <w:rPr>
      <w:rFonts w:eastAsiaTheme="minorEastAsia"/>
      <w:sz w:val="24"/>
    </w:rPr>
  </w:style>
  <w:style w:type="character" w:styleId="EndnoteReference">
    <w:name w:val="endnote reference"/>
    <w:basedOn w:val="DefaultParagraphFont"/>
    <w:uiPriority w:val="99"/>
    <w:semiHidden/>
    <w:unhideWhenUsed/>
    <w:rsid w:val="00E93FC7"/>
    <w:rPr>
      <w:vertAlign w:val="superscript"/>
    </w:rPr>
  </w:style>
  <w:style w:type="paragraph" w:styleId="EndnoteText">
    <w:name w:val="endnote text"/>
    <w:basedOn w:val="Normal"/>
    <w:link w:val="EndnoteTextChar"/>
    <w:uiPriority w:val="99"/>
    <w:semiHidden/>
    <w:unhideWhenUsed/>
    <w:rsid w:val="00E93FC7"/>
    <w:rPr>
      <w:sz w:val="20"/>
      <w:szCs w:val="20"/>
    </w:rPr>
  </w:style>
  <w:style w:type="character" w:customStyle="1" w:styleId="EndnoteTextChar">
    <w:name w:val="Endnote Text Char"/>
    <w:basedOn w:val="DefaultParagraphFont"/>
    <w:link w:val="EndnoteText"/>
    <w:uiPriority w:val="99"/>
    <w:semiHidden/>
    <w:rsid w:val="00E93FC7"/>
    <w:rPr>
      <w:rFonts w:eastAsiaTheme="minorEastAsia"/>
      <w:sz w:val="20"/>
      <w:szCs w:val="20"/>
    </w:rPr>
  </w:style>
  <w:style w:type="paragraph" w:styleId="EnvelopeAddress">
    <w:name w:val="envelope address"/>
    <w:basedOn w:val="Normal"/>
    <w:uiPriority w:val="99"/>
    <w:semiHidden/>
    <w:unhideWhenUsed/>
    <w:rsid w:val="00E93FC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93FC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93FC7"/>
    <w:rPr>
      <w:color w:val="7030A0" w:themeColor="followedHyperlink"/>
      <w:u w:val="single"/>
    </w:rPr>
  </w:style>
  <w:style w:type="character" w:styleId="FootnoteReference">
    <w:name w:val="footnote reference"/>
    <w:basedOn w:val="DefaultParagraphFont"/>
    <w:uiPriority w:val="99"/>
    <w:semiHidden/>
    <w:rsid w:val="00C545EF"/>
    <w:rPr>
      <w:vertAlign w:val="superscript"/>
    </w:rPr>
  </w:style>
  <w:style w:type="paragraph" w:styleId="FootnoteText">
    <w:name w:val="footnote text"/>
    <w:basedOn w:val="Normal"/>
    <w:link w:val="FootnoteTextChar"/>
    <w:uiPriority w:val="99"/>
    <w:semiHidden/>
    <w:rsid w:val="00C545EF"/>
    <w:rPr>
      <w:sz w:val="20"/>
      <w:szCs w:val="20"/>
    </w:rPr>
  </w:style>
  <w:style w:type="character" w:customStyle="1" w:styleId="FootnoteTextChar">
    <w:name w:val="Footnote Text Char"/>
    <w:basedOn w:val="DefaultParagraphFont"/>
    <w:link w:val="FootnoteText"/>
    <w:uiPriority w:val="99"/>
    <w:semiHidden/>
    <w:rsid w:val="00C545EF"/>
    <w:rPr>
      <w:rFonts w:eastAsiaTheme="minorEastAsia"/>
      <w:sz w:val="20"/>
      <w:szCs w:val="20"/>
    </w:rPr>
  </w:style>
  <w:style w:type="character" w:styleId="HTMLAcronym">
    <w:name w:val="HTML Acronym"/>
    <w:basedOn w:val="DefaultParagraphFont"/>
    <w:uiPriority w:val="99"/>
    <w:semiHidden/>
    <w:unhideWhenUsed/>
    <w:rsid w:val="00E93FC7"/>
  </w:style>
  <w:style w:type="paragraph" w:styleId="HTMLAddress">
    <w:name w:val="HTML Address"/>
    <w:basedOn w:val="Normal"/>
    <w:link w:val="HTMLAddressChar"/>
    <w:uiPriority w:val="99"/>
    <w:semiHidden/>
    <w:unhideWhenUsed/>
    <w:rsid w:val="00E93FC7"/>
    <w:rPr>
      <w:i/>
      <w:iCs/>
    </w:rPr>
  </w:style>
  <w:style w:type="character" w:customStyle="1" w:styleId="HTMLAddressChar">
    <w:name w:val="HTML Address Char"/>
    <w:basedOn w:val="DefaultParagraphFont"/>
    <w:link w:val="HTMLAddress"/>
    <w:uiPriority w:val="99"/>
    <w:semiHidden/>
    <w:rsid w:val="00E93FC7"/>
    <w:rPr>
      <w:rFonts w:eastAsiaTheme="minorEastAsia"/>
      <w:i/>
      <w:iCs/>
      <w:sz w:val="24"/>
    </w:rPr>
  </w:style>
  <w:style w:type="character" w:styleId="HTMLCite">
    <w:name w:val="HTML Cite"/>
    <w:basedOn w:val="DefaultParagraphFont"/>
    <w:uiPriority w:val="99"/>
    <w:semiHidden/>
    <w:unhideWhenUsed/>
    <w:rsid w:val="00E93FC7"/>
    <w:rPr>
      <w:i/>
      <w:iCs/>
    </w:rPr>
  </w:style>
  <w:style w:type="character" w:styleId="HTMLCode">
    <w:name w:val="HTML Code"/>
    <w:basedOn w:val="DefaultParagraphFont"/>
    <w:uiPriority w:val="99"/>
    <w:semiHidden/>
    <w:unhideWhenUsed/>
    <w:rsid w:val="00E93FC7"/>
    <w:rPr>
      <w:rFonts w:ascii="Consolas" w:hAnsi="Consolas" w:cs="Consolas"/>
      <w:sz w:val="20"/>
      <w:szCs w:val="20"/>
    </w:rPr>
  </w:style>
  <w:style w:type="character" w:styleId="HTMLDefinition">
    <w:name w:val="HTML Definition"/>
    <w:basedOn w:val="DefaultParagraphFont"/>
    <w:uiPriority w:val="99"/>
    <w:semiHidden/>
    <w:unhideWhenUsed/>
    <w:rsid w:val="00E93FC7"/>
    <w:rPr>
      <w:i/>
      <w:iCs/>
    </w:rPr>
  </w:style>
  <w:style w:type="character" w:styleId="HTMLKeyboard">
    <w:name w:val="HTML Keyboard"/>
    <w:basedOn w:val="DefaultParagraphFont"/>
    <w:uiPriority w:val="99"/>
    <w:semiHidden/>
    <w:unhideWhenUsed/>
    <w:rsid w:val="00E93FC7"/>
    <w:rPr>
      <w:rFonts w:ascii="Consolas" w:hAnsi="Consolas" w:cs="Consolas"/>
      <w:sz w:val="20"/>
      <w:szCs w:val="20"/>
    </w:rPr>
  </w:style>
  <w:style w:type="paragraph" w:styleId="HTMLPreformatted">
    <w:name w:val="HTML Preformatted"/>
    <w:basedOn w:val="Normal"/>
    <w:link w:val="HTMLPreformattedChar"/>
    <w:uiPriority w:val="99"/>
    <w:semiHidden/>
    <w:unhideWhenUsed/>
    <w:rsid w:val="00E93FC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93FC7"/>
    <w:rPr>
      <w:rFonts w:ascii="Consolas" w:eastAsiaTheme="minorEastAsia" w:hAnsi="Consolas" w:cs="Consolas"/>
      <w:sz w:val="20"/>
      <w:szCs w:val="20"/>
    </w:rPr>
  </w:style>
  <w:style w:type="character" w:styleId="HTMLSample">
    <w:name w:val="HTML Sample"/>
    <w:basedOn w:val="DefaultParagraphFont"/>
    <w:uiPriority w:val="99"/>
    <w:semiHidden/>
    <w:unhideWhenUsed/>
    <w:rsid w:val="00E93FC7"/>
    <w:rPr>
      <w:rFonts w:ascii="Consolas" w:hAnsi="Consolas" w:cs="Consolas"/>
      <w:sz w:val="24"/>
      <w:szCs w:val="24"/>
    </w:rPr>
  </w:style>
  <w:style w:type="character" w:styleId="HTMLTypewriter">
    <w:name w:val="HTML Typewriter"/>
    <w:basedOn w:val="DefaultParagraphFont"/>
    <w:uiPriority w:val="99"/>
    <w:semiHidden/>
    <w:unhideWhenUsed/>
    <w:rsid w:val="00E93FC7"/>
    <w:rPr>
      <w:rFonts w:ascii="Consolas" w:hAnsi="Consolas" w:cs="Consolas"/>
      <w:sz w:val="20"/>
      <w:szCs w:val="20"/>
    </w:rPr>
  </w:style>
  <w:style w:type="character" w:styleId="HTMLVariable">
    <w:name w:val="HTML Variable"/>
    <w:basedOn w:val="DefaultParagraphFont"/>
    <w:uiPriority w:val="99"/>
    <w:semiHidden/>
    <w:unhideWhenUsed/>
    <w:rsid w:val="00E93FC7"/>
    <w:rPr>
      <w:i/>
      <w:iCs/>
    </w:rPr>
  </w:style>
  <w:style w:type="character" w:styleId="Hyperlink">
    <w:name w:val="Hyperlink"/>
    <w:basedOn w:val="DefaultParagraphFont"/>
    <w:uiPriority w:val="99"/>
    <w:semiHidden/>
    <w:rsid w:val="00C545EF"/>
    <w:rPr>
      <w:color w:val="0072BC" w:themeColor="hyperlink"/>
      <w:u w:val="single"/>
    </w:rPr>
  </w:style>
  <w:style w:type="paragraph" w:styleId="Index1">
    <w:name w:val="index 1"/>
    <w:basedOn w:val="Normal"/>
    <w:next w:val="Normal"/>
    <w:autoRedefine/>
    <w:uiPriority w:val="99"/>
    <w:semiHidden/>
    <w:unhideWhenUsed/>
    <w:rsid w:val="00E93FC7"/>
    <w:pPr>
      <w:ind w:left="240" w:hanging="240"/>
    </w:pPr>
  </w:style>
  <w:style w:type="paragraph" w:styleId="Index2">
    <w:name w:val="index 2"/>
    <w:basedOn w:val="Normal"/>
    <w:next w:val="Normal"/>
    <w:autoRedefine/>
    <w:uiPriority w:val="99"/>
    <w:semiHidden/>
    <w:unhideWhenUsed/>
    <w:rsid w:val="00E93FC7"/>
    <w:pPr>
      <w:ind w:left="480" w:hanging="240"/>
    </w:pPr>
  </w:style>
  <w:style w:type="paragraph" w:styleId="Index3">
    <w:name w:val="index 3"/>
    <w:basedOn w:val="Normal"/>
    <w:next w:val="Normal"/>
    <w:autoRedefine/>
    <w:uiPriority w:val="99"/>
    <w:semiHidden/>
    <w:unhideWhenUsed/>
    <w:rsid w:val="00E93FC7"/>
    <w:pPr>
      <w:ind w:left="720" w:hanging="240"/>
    </w:pPr>
  </w:style>
  <w:style w:type="paragraph" w:styleId="Index4">
    <w:name w:val="index 4"/>
    <w:basedOn w:val="Normal"/>
    <w:next w:val="Normal"/>
    <w:autoRedefine/>
    <w:uiPriority w:val="99"/>
    <w:semiHidden/>
    <w:unhideWhenUsed/>
    <w:rsid w:val="00E93FC7"/>
    <w:pPr>
      <w:ind w:left="960" w:hanging="240"/>
    </w:pPr>
  </w:style>
  <w:style w:type="paragraph" w:styleId="Index5">
    <w:name w:val="index 5"/>
    <w:basedOn w:val="Normal"/>
    <w:next w:val="Normal"/>
    <w:autoRedefine/>
    <w:uiPriority w:val="99"/>
    <w:semiHidden/>
    <w:unhideWhenUsed/>
    <w:rsid w:val="00E93FC7"/>
    <w:pPr>
      <w:ind w:left="1200" w:hanging="240"/>
    </w:pPr>
  </w:style>
  <w:style w:type="paragraph" w:styleId="Index6">
    <w:name w:val="index 6"/>
    <w:basedOn w:val="Normal"/>
    <w:next w:val="Normal"/>
    <w:autoRedefine/>
    <w:uiPriority w:val="99"/>
    <w:semiHidden/>
    <w:unhideWhenUsed/>
    <w:rsid w:val="00E93FC7"/>
    <w:pPr>
      <w:ind w:left="1440" w:hanging="240"/>
    </w:pPr>
  </w:style>
  <w:style w:type="paragraph" w:styleId="Index7">
    <w:name w:val="index 7"/>
    <w:basedOn w:val="Normal"/>
    <w:next w:val="Normal"/>
    <w:autoRedefine/>
    <w:uiPriority w:val="99"/>
    <w:semiHidden/>
    <w:unhideWhenUsed/>
    <w:rsid w:val="00E93FC7"/>
    <w:pPr>
      <w:ind w:left="1680" w:hanging="240"/>
    </w:pPr>
  </w:style>
  <w:style w:type="paragraph" w:styleId="Index8">
    <w:name w:val="index 8"/>
    <w:basedOn w:val="Normal"/>
    <w:next w:val="Normal"/>
    <w:autoRedefine/>
    <w:uiPriority w:val="99"/>
    <w:semiHidden/>
    <w:unhideWhenUsed/>
    <w:rsid w:val="00E93FC7"/>
    <w:pPr>
      <w:ind w:left="1920" w:hanging="240"/>
    </w:pPr>
  </w:style>
  <w:style w:type="paragraph" w:styleId="Index9">
    <w:name w:val="index 9"/>
    <w:basedOn w:val="Normal"/>
    <w:next w:val="Normal"/>
    <w:autoRedefine/>
    <w:uiPriority w:val="99"/>
    <w:semiHidden/>
    <w:unhideWhenUsed/>
    <w:rsid w:val="00E93FC7"/>
    <w:pPr>
      <w:ind w:left="2160" w:hanging="240"/>
    </w:pPr>
  </w:style>
  <w:style w:type="paragraph" w:styleId="IndexHeading">
    <w:name w:val="index heading"/>
    <w:basedOn w:val="Normal"/>
    <w:next w:val="Index1"/>
    <w:uiPriority w:val="99"/>
    <w:semiHidden/>
    <w:unhideWhenUsed/>
    <w:rsid w:val="00E93FC7"/>
    <w:rPr>
      <w:rFonts w:asciiTheme="majorHAnsi" w:eastAsiaTheme="majorEastAsia" w:hAnsiTheme="majorHAnsi" w:cstheme="majorBidi"/>
      <w:b/>
      <w:bCs/>
    </w:rPr>
  </w:style>
  <w:style w:type="table" w:styleId="LightGrid">
    <w:name w:val="Light Grid"/>
    <w:basedOn w:val="TableNormal"/>
    <w:uiPriority w:val="62"/>
    <w:semiHidden/>
    <w:rsid w:val="00E93FC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93FC7"/>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E93FC7"/>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E93FC7"/>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E93FC7"/>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E93FC7"/>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E93FC7"/>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E93FC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93FC7"/>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E93FC7"/>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E93FC7"/>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E93FC7"/>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E93FC7"/>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E93FC7"/>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E93FC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93FC7"/>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E93FC7"/>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E93FC7"/>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E93FC7"/>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E93FC7"/>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E93FC7"/>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E93FC7"/>
  </w:style>
  <w:style w:type="paragraph" w:styleId="List">
    <w:name w:val="List"/>
    <w:basedOn w:val="Normal"/>
    <w:uiPriority w:val="99"/>
    <w:semiHidden/>
    <w:unhideWhenUsed/>
    <w:rsid w:val="00E93FC7"/>
    <w:pPr>
      <w:ind w:left="283" w:hanging="283"/>
      <w:contextualSpacing/>
    </w:pPr>
  </w:style>
  <w:style w:type="paragraph" w:styleId="List2">
    <w:name w:val="List 2"/>
    <w:basedOn w:val="Normal"/>
    <w:uiPriority w:val="99"/>
    <w:semiHidden/>
    <w:unhideWhenUsed/>
    <w:rsid w:val="00E93FC7"/>
    <w:pPr>
      <w:ind w:left="566" w:hanging="283"/>
      <w:contextualSpacing/>
    </w:pPr>
  </w:style>
  <w:style w:type="paragraph" w:styleId="List3">
    <w:name w:val="List 3"/>
    <w:basedOn w:val="Normal"/>
    <w:uiPriority w:val="99"/>
    <w:semiHidden/>
    <w:unhideWhenUsed/>
    <w:rsid w:val="00E93FC7"/>
    <w:pPr>
      <w:ind w:left="849" w:hanging="283"/>
      <w:contextualSpacing/>
    </w:pPr>
  </w:style>
  <w:style w:type="paragraph" w:styleId="List4">
    <w:name w:val="List 4"/>
    <w:basedOn w:val="Normal"/>
    <w:uiPriority w:val="99"/>
    <w:semiHidden/>
    <w:unhideWhenUsed/>
    <w:rsid w:val="00E93FC7"/>
    <w:pPr>
      <w:ind w:left="1132" w:hanging="283"/>
      <w:contextualSpacing/>
    </w:pPr>
  </w:style>
  <w:style w:type="paragraph" w:styleId="List5">
    <w:name w:val="List 5"/>
    <w:basedOn w:val="Normal"/>
    <w:uiPriority w:val="99"/>
    <w:semiHidden/>
    <w:unhideWhenUsed/>
    <w:rsid w:val="00E93FC7"/>
    <w:pPr>
      <w:ind w:left="1415" w:hanging="283"/>
      <w:contextualSpacing/>
    </w:pPr>
  </w:style>
  <w:style w:type="paragraph" w:styleId="ListBullet">
    <w:name w:val="List Bullet"/>
    <w:basedOn w:val="Normal"/>
    <w:uiPriority w:val="99"/>
    <w:semiHidden/>
    <w:unhideWhenUsed/>
    <w:rsid w:val="00E93FC7"/>
    <w:pPr>
      <w:numPr>
        <w:numId w:val="6"/>
      </w:numPr>
      <w:contextualSpacing/>
    </w:pPr>
  </w:style>
  <w:style w:type="paragraph" w:styleId="ListBullet2">
    <w:name w:val="List Bullet 2"/>
    <w:basedOn w:val="Normal"/>
    <w:uiPriority w:val="99"/>
    <w:semiHidden/>
    <w:unhideWhenUsed/>
    <w:rsid w:val="00E93FC7"/>
    <w:pPr>
      <w:numPr>
        <w:numId w:val="7"/>
      </w:numPr>
      <w:contextualSpacing/>
    </w:pPr>
  </w:style>
  <w:style w:type="paragraph" w:styleId="ListBullet3">
    <w:name w:val="List Bullet 3"/>
    <w:basedOn w:val="Normal"/>
    <w:uiPriority w:val="99"/>
    <w:semiHidden/>
    <w:unhideWhenUsed/>
    <w:rsid w:val="00E93FC7"/>
    <w:pPr>
      <w:numPr>
        <w:numId w:val="8"/>
      </w:numPr>
      <w:contextualSpacing/>
    </w:pPr>
  </w:style>
  <w:style w:type="paragraph" w:styleId="ListBullet4">
    <w:name w:val="List Bullet 4"/>
    <w:basedOn w:val="Normal"/>
    <w:uiPriority w:val="99"/>
    <w:semiHidden/>
    <w:unhideWhenUsed/>
    <w:rsid w:val="00E93FC7"/>
    <w:pPr>
      <w:numPr>
        <w:numId w:val="9"/>
      </w:numPr>
      <w:contextualSpacing/>
    </w:pPr>
  </w:style>
  <w:style w:type="paragraph" w:styleId="ListBullet5">
    <w:name w:val="List Bullet 5"/>
    <w:basedOn w:val="Normal"/>
    <w:uiPriority w:val="99"/>
    <w:semiHidden/>
    <w:unhideWhenUsed/>
    <w:rsid w:val="00E93FC7"/>
    <w:pPr>
      <w:numPr>
        <w:numId w:val="10"/>
      </w:numPr>
      <w:contextualSpacing/>
    </w:pPr>
  </w:style>
  <w:style w:type="paragraph" w:styleId="ListContinue">
    <w:name w:val="List Continue"/>
    <w:basedOn w:val="Normal"/>
    <w:uiPriority w:val="99"/>
    <w:semiHidden/>
    <w:unhideWhenUsed/>
    <w:rsid w:val="00E93FC7"/>
    <w:pPr>
      <w:spacing w:after="120"/>
      <w:ind w:left="283"/>
      <w:contextualSpacing/>
    </w:pPr>
  </w:style>
  <w:style w:type="paragraph" w:styleId="ListContinue2">
    <w:name w:val="List Continue 2"/>
    <w:basedOn w:val="Normal"/>
    <w:uiPriority w:val="99"/>
    <w:semiHidden/>
    <w:unhideWhenUsed/>
    <w:rsid w:val="00E93FC7"/>
    <w:pPr>
      <w:spacing w:after="120"/>
      <w:ind w:left="566"/>
      <w:contextualSpacing/>
    </w:pPr>
  </w:style>
  <w:style w:type="paragraph" w:styleId="ListContinue3">
    <w:name w:val="List Continue 3"/>
    <w:basedOn w:val="Normal"/>
    <w:uiPriority w:val="99"/>
    <w:semiHidden/>
    <w:unhideWhenUsed/>
    <w:rsid w:val="00E93FC7"/>
    <w:pPr>
      <w:spacing w:after="120"/>
      <w:ind w:left="849"/>
      <w:contextualSpacing/>
    </w:pPr>
  </w:style>
  <w:style w:type="paragraph" w:styleId="ListContinue4">
    <w:name w:val="List Continue 4"/>
    <w:basedOn w:val="Normal"/>
    <w:uiPriority w:val="99"/>
    <w:semiHidden/>
    <w:unhideWhenUsed/>
    <w:rsid w:val="00E93FC7"/>
    <w:pPr>
      <w:spacing w:after="120"/>
      <w:ind w:left="1132"/>
      <w:contextualSpacing/>
    </w:pPr>
  </w:style>
  <w:style w:type="paragraph" w:styleId="ListContinue5">
    <w:name w:val="List Continue 5"/>
    <w:basedOn w:val="Normal"/>
    <w:uiPriority w:val="99"/>
    <w:semiHidden/>
    <w:unhideWhenUsed/>
    <w:rsid w:val="00E93FC7"/>
    <w:pPr>
      <w:spacing w:after="120"/>
      <w:ind w:left="1415"/>
      <w:contextualSpacing/>
    </w:pPr>
  </w:style>
  <w:style w:type="paragraph" w:styleId="ListNumber">
    <w:name w:val="List Number"/>
    <w:basedOn w:val="Normal"/>
    <w:uiPriority w:val="99"/>
    <w:semiHidden/>
    <w:unhideWhenUsed/>
    <w:rsid w:val="00E93FC7"/>
    <w:pPr>
      <w:numPr>
        <w:numId w:val="11"/>
      </w:numPr>
      <w:contextualSpacing/>
    </w:pPr>
  </w:style>
  <w:style w:type="paragraph" w:styleId="ListNumber2">
    <w:name w:val="List Number 2"/>
    <w:basedOn w:val="Normal"/>
    <w:uiPriority w:val="99"/>
    <w:semiHidden/>
    <w:unhideWhenUsed/>
    <w:rsid w:val="00E93FC7"/>
    <w:pPr>
      <w:numPr>
        <w:numId w:val="12"/>
      </w:numPr>
      <w:contextualSpacing/>
    </w:pPr>
  </w:style>
  <w:style w:type="paragraph" w:styleId="ListNumber3">
    <w:name w:val="List Number 3"/>
    <w:basedOn w:val="Normal"/>
    <w:uiPriority w:val="99"/>
    <w:semiHidden/>
    <w:unhideWhenUsed/>
    <w:rsid w:val="00E93FC7"/>
    <w:pPr>
      <w:numPr>
        <w:numId w:val="13"/>
      </w:numPr>
      <w:contextualSpacing/>
    </w:pPr>
  </w:style>
  <w:style w:type="paragraph" w:styleId="ListNumber4">
    <w:name w:val="List Number 4"/>
    <w:basedOn w:val="Normal"/>
    <w:uiPriority w:val="99"/>
    <w:semiHidden/>
    <w:unhideWhenUsed/>
    <w:rsid w:val="00E93FC7"/>
    <w:pPr>
      <w:numPr>
        <w:numId w:val="14"/>
      </w:numPr>
      <w:contextualSpacing/>
    </w:pPr>
  </w:style>
  <w:style w:type="paragraph" w:styleId="ListNumber5">
    <w:name w:val="List Number 5"/>
    <w:basedOn w:val="Normal"/>
    <w:uiPriority w:val="99"/>
    <w:semiHidden/>
    <w:unhideWhenUsed/>
    <w:rsid w:val="00E93FC7"/>
    <w:pPr>
      <w:numPr>
        <w:numId w:val="15"/>
      </w:numPr>
      <w:contextualSpacing/>
    </w:pPr>
  </w:style>
  <w:style w:type="paragraph" w:styleId="MacroText">
    <w:name w:val="macro"/>
    <w:link w:val="MacroTextChar"/>
    <w:uiPriority w:val="99"/>
    <w:semiHidden/>
    <w:unhideWhenUsed/>
    <w:rsid w:val="00E93FC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93FC7"/>
    <w:rPr>
      <w:rFonts w:ascii="Consolas" w:eastAsiaTheme="minorEastAsia" w:hAnsi="Consolas" w:cs="Consolas"/>
      <w:sz w:val="20"/>
      <w:szCs w:val="20"/>
    </w:rPr>
  </w:style>
  <w:style w:type="table" w:styleId="MediumGrid1">
    <w:name w:val="Medium Grid 1"/>
    <w:basedOn w:val="TableNormal"/>
    <w:uiPriority w:val="67"/>
    <w:semiHidden/>
    <w:rsid w:val="00E93FC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93FC7"/>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E93FC7"/>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E93FC7"/>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E93FC7"/>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E93FC7"/>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E93FC7"/>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E93FC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E93FC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E93FC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E93FC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E93FC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E93FC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E93FC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E93FC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93FC7"/>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E93FC7"/>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E93FC7"/>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E93FC7"/>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E93FC7"/>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E93FC7"/>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E93FC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93FC7"/>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93FC7"/>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93FC7"/>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93FC7"/>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93FC7"/>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93FC7"/>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93F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93F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93F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93F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93F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93F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93F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93FC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93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E93FC7"/>
    <w:rPr>
      <w:rFonts w:ascii="Times New Roman" w:hAnsi="Times New Roman" w:cs="Times New Roman"/>
      <w:szCs w:val="24"/>
    </w:rPr>
  </w:style>
  <w:style w:type="paragraph" w:styleId="NormalIndent">
    <w:name w:val="Normal Indent"/>
    <w:basedOn w:val="Normal"/>
    <w:uiPriority w:val="99"/>
    <w:semiHidden/>
    <w:unhideWhenUsed/>
    <w:rsid w:val="00E93FC7"/>
    <w:pPr>
      <w:ind w:left="720"/>
    </w:pPr>
  </w:style>
  <w:style w:type="paragraph" w:styleId="NoteHeading">
    <w:name w:val="Note Heading"/>
    <w:basedOn w:val="Normal"/>
    <w:next w:val="Normal"/>
    <w:link w:val="NoteHeadingChar"/>
    <w:uiPriority w:val="99"/>
    <w:semiHidden/>
    <w:unhideWhenUsed/>
    <w:rsid w:val="00E93FC7"/>
  </w:style>
  <w:style w:type="character" w:customStyle="1" w:styleId="NoteHeadingChar">
    <w:name w:val="Note Heading Char"/>
    <w:basedOn w:val="DefaultParagraphFont"/>
    <w:link w:val="NoteHeading"/>
    <w:uiPriority w:val="99"/>
    <w:semiHidden/>
    <w:rsid w:val="00E93FC7"/>
    <w:rPr>
      <w:rFonts w:eastAsiaTheme="minorEastAsia"/>
      <w:sz w:val="24"/>
    </w:rPr>
  </w:style>
  <w:style w:type="character" w:styleId="PlaceholderText">
    <w:name w:val="Placeholder Text"/>
    <w:basedOn w:val="DefaultParagraphFont"/>
    <w:uiPriority w:val="99"/>
    <w:semiHidden/>
    <w:rsid w:val="00C545EF"/>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unhideWhenUsed/>
    <w:rsid w:val="00E93FC7"/>
    <w:rPr>
      <w:rFonts w:ascii="Consolas" w:hAnsi="Consolas" w:cs="Consolas"/>
      <w:sz w:val="21"/>
      <w:szCs w:val="21"/>
    </w:rPr>
  </w:style>
  <w:style w:type="character" w:customStyle="1" w:styleId="PlainTextChar">
    <w:name w:val="Plain Text Char"/>
    <w:basedOn w:val="DefaultParagraphFont"/>
    <w:link w:val="PlainText"/>
    <w:uiPriority w:val="99"/>
    <w:semiHidden/>
    <w:rsid w:val="00E93FC7"/>
    <w:rPr>
      <w:rFonts w:ascii="Consolas" w:eastAsiaTheme="minorEastAsia" w:hAnsi="Consolas" w:cs="Consolas"/>
      <w:sz w:val="21"/>
      <w:szCs w:val="21"/>
    </w:rPr>
  </w:style>
  <w:style w:type="paragraph" w:styleId="Salutation">
    <w:name w:val="Salutation"/>
    <w:basedOn w:val="Normal"/>
    <w:next w:val="Normal"/>
    <w:link w:val="SalutationChar"/>
    <w:uiPriority w:val="99"/>
    <w:semiHidden/>
    <w:unhideWhenUsed/>
    <w:rsid w:val="00E93FC7"/>
  </w:style>
  <w:style w:type="character" w:customStyle="1" w:styleId="SalutationChar">
    <w:name w:val="Salutation Char"/>
    <w:basedOn w:val="DefaultParagraphFont"/>
    <w:link w:val="Salutation"/>
    <w:uiPriority w:val="99"/>
    <w:semiHidden/>
    <w:rsid w:val="00E93FC7"/>
    <w:rPr>
      <w:rFonts w:eastAsiaTheme="minorEastAsia"/>
      <w:sz w:val="24"/>
    </w:rPr>
  </w:style>
  <w:style w:type="paragraph" w:styleId="Signature">
    <w:name w:val="Signature"/>
    <w:basedOn w:val="Normal"/>
    <w:link w:val="SignatureChar"/>
    <w:uiPriority w:val="99"/>
    <w:semiHidden/>
    <w:unhideWhenUsed/>
    <w:rsid w:val="00E93FC7"/>
    <w:pPr>
      <w:ind w:left="4252"/>
    </w:pPr>
  </w:style>
  <w:style w:type="character" w:customStyle="1" w:styleId="SignatureChar">
    <w:name w:val="Signature Char"/>
    <w:basedOn w:val="DefaultParagraphFont"/>
    <w:link w:val="Signature"/>
    <w:uiPriority w:val="99"/>
    <w:semiHidden/>
    <w:rsid w:val="00E93FC7"/>
    <w:rPr>
      <w:rFonts w:eastAsiaTheme="minorEastAsia"/>
      <w:sz w:val="24"/>
    </w:rPr>
  </w:style>
  <w:style w:type="table" w:styleId="Table3Deffects1">
    <w:name w:val="Table 3D effects 1"/>
    <w:basedOn w:val="TableNormal"/>
    <w:uiPriority w:val="99"/>
    <w:semiHidden/>
    <w:unhideWhenUsed/>
    <w:rsid w:val="00E93FC7"/>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3FC7"/>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3FC7"/>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3FC7"/>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3FC7"/>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3FC7"/>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3FC7"/>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3FC7"/>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3FC7"/>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3FC7"/>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3FC7"/>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3FC7"/>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3FC7"/>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3FC7"/>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3FC7"/>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3FC7"/>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3FC7"/>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C545E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E93FC7"/>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3FC7"/>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3FC7"/>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3FC7"/>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3FC7"/>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3FC7"/>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3FC7"/>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3FC7"/>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93FC7"/>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3FC7"/>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3FC7"/>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3FC7"/>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3FC7"/>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3FC7"/>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3FC7"/>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3FC7"/>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93FC7"/>
    <w:pPr>
      <w:ind w:left="240" w:hanging="240"/>
    </w:pPr>
  </w:style>
  <w:style w:type="paragraph" w:styleId="TableofFigures">
    <w:name w:val="table of figures"/>
    <w:basedOn w:val="Normal"/>
    <w:next w:val="Normal"/>
    <w:uiPriority w:val="99"/>
    <w:semiHidden/>
    <w:unhideWhenUsed/>
    <w:rsid w:val="00E93FC7"/>
  </w:style>
  <w:style w:type="table" w:styleId="TableProfessional">
    <w:name w:val="Table Professional"/>
    <w:basedOn w:val="TableNormal"/>
    <w:uiPriority w:val="99"/>
    <w:semiHidden/>
    <w:unhideWhenUsed/>
    <w:rsid w:val="00E93FC7"/>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3FC7"/>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3FC7"/>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3FC7"/>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3FC7"/>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3FC7"/>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3FC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E93FC7"/>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3FC7"/>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3FC7"/>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545EF"/>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TOC1">
    <w:name w:val="toc 1"/>
    <w:basedOn w:val="Normal"/>
    <w:next w:val="Normal"/>
    <w:autoRedefine/>
    <w:uiPriority w:val="99"/>
    <w:semiHidden/>
    <w:rsid w:val="00C545EF"/>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C545EF"/>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C545EF"/>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C545EF"/>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C545EF"/>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C545EF"/>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C545EF"/>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39"/>
    <w:semiHidden/>
    <w:unhideWhenUsed/>
    <w:rsid w:val="00E93FC7"/>
    <w:pPr>
      <w:spacing w:after="100"/>
      <w:ind w:left="1680"/>
    </w:pPr>
  </w:style>
  <w:style w:type="paragraph" w:styleId="TOC9">
    <w:name w:val="toc 9"/>
    <w:basedOn w:val="Normal"/>
    <w:next w:val="Normal"/>
    <w:autoRedefine/>
    <w:uiPriority w:val="39"/>
    <w:semiHidden/>
    <w:unhideWhenUsed/>
    <w:rsid w:val="00E93FC7"/>
    <w:pPr>
      <w:spacing w:after="100"/>
      <w:ind w:left="1920"/>
    </w:pPr>
  </w:style>
  <w:style w:type="paragraph" w:customStyle="1" w:styleId="ECHRFooter">
    <w:name w:val="ECHR_Footer"/>
    <w:aliases w:val="Footer_ECHR"/>
    <w:basedOn w:val="Footer"/>
    <w:uiPriority w:val="57"/>
    <w:semiHidden/>
    <w:rsid w:val="00C545EF"/>
    <w:pPr>
      <w:jc w:val="left"/>
    </w:pPr>
    <w:rPr>
      <w:sz w:val="8"/>
    </w:rPr>
  </w:style>
  <w:style w:type="paragraph" w:customStyle="1" w:styleId="OpiQuot">
    <w:name w:val="Opi_Quot"/>
    <w:basedOn w:val="ECHRParaQuote"/>
    <w:uiPriority w:val="48"/>
    <w:semiHidden/>
    <w:qFormat/>
    <w:rsid w:val="00C545EF"/>
  </w:style>
  <w:style w:type="paragraph" w:styleId="Footer">
    <w:name w:val="footer"/>
    <w:basedOn w:val="Normal"/>
    <w:link w:val="FooterChar"/>
    <w:uiPriority w:val="57"/>
    <w:semiHidden/>
    <w:rsid w:val="00C545E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C545EF"/>
    <w:rPr>
      <w:sz w:val="24"/>
    </w:rPr>
  </w:style>
  <w:style w:type="paragraph" w:customStyle="1" w:styleId="ECHRFooterLine">
    <w:name w:val="ECHR_Footer_Line"/>
    <w:aliases w:val="Footer_Line"/>
    <w:basedOn w:val="Normal"/>
    <w:next w:val="ECHRFooter"/>
    <w:uiPriority w:val="57"/>
    <w:semiHidden/>
    <w:rsid w:val="00C545EF"/>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Normal"/>
    <w:uiPriority w:val="99"/>
    <w:rsid w:val="00C545EF"/>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OpiQuotSub">
    <w:name w:val="Opi_Quot_Sub"/>
    <w:basedOn w:val="JuQuotSub"/>
    <w:uiPriority w:val="49"/>
    <w:semiHidden/>
    <w:qFormat/>
    <w:rsid w:val="00C545EF"/>
  </w:style>
  <w:style w:type="character" w:customStyle="1" w:styleId="ECHRParaChar">
    <w:name w:val="ECHR_Para Char"/>
    <w:aliases w:val="Ju_Para Char"/>
    <w:link w:val="ECHRPara"/>
    <w:uiPriority w:val="12"/>
    <w:rsid w:val="00D426A2"/>
    <w:rPr>
      <w:rFonts w:eastAsiaTheme="minorEastAsia"/>
      <w:sz w:val="24"/>
    </w:rPr>
  </w:style>
  <w:style w:type="paragraph" w:customStyle="1" w:styleId="OpiTranslation">
    <w:name w:val="Opi_Translation"/>
    <w:basedOn w:val="Normal"/>
    <w:next w:val="OpiPara"/>
    <w:uiPriority w:val="40"/>
    <w:semiHidden/>
    <w:qFormat/>
    <w:rsid w:val="00C545EF"/>
    <w:pPr>
      <w:jc w:val="center"/>
      <w:outlineLvl w:val="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ABBB9-D2E6-45C0-AB03-39C860E9A9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CC099-369C-4ED5-A9D3-D81F43AA35AB}">
  <ds:schemaRefs>
    <ds:schemaRef ds:uri="http://schemas.microsoft.com/sharepoint/v3/contenttype/forms"/>
  </ds:schemaRefs>
</ds:datastoreItem>
</file>

<file path=customXml/itemProps3.xml><?xml version="1.0" encoding="utf-8"?>
<ds:datastoreItem xmlns:ds="http://schemas.openxmlformats.org/officeDocument/2006/customXml" ds:itemID="{3F48A052-2E36-4281-853A-46BAB09DE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dcterms:created xsi:type="dcterms:W3CDTF">2017-10-12T08:22:00Z</dcterms:created>
  <dcterms:modified xsi:type="dcterms:W3CDTF">2017-10-12T08:22:00Z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52168/12</vt:lpwstr>
  </property>
  <property fmtid="{D5CDD505-2E9C-101B-9397-08002B2CF9AE}" pid="4" name="CASEID">
    <vt:lpwstr>820827</vt:lpwstr>
  </property>
  <property fmtid="{D5CDD505-2E9C-101B-9397-08002B2CF9AE}" pid="5" name="ContentTypeId">
    <vt:lpwstr>0x010100558EB02BDB9E204AB350EDD385B68E10</vt:lpwstr>
  </property>
</Properties>
</file>